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0AAE1" w14:textId="39E99ED0" w:rsidR="001C3B05" w:rsidRPr="00A7470D" w:rsidRDefault="00233C3D" w:rsidP="00125ED6">
      <w:pPr>
        <w:jc w:val="center"/>
        <w:rPr>
          <w:b/>
          <w:bCs/>
          <w:sz w:val="28"/>
          <w:lang w:val="en-US"/>
        </w:rPr>
      </w:pPr>
      <w:r w:rsidRPr="00A7470D">
        <w:rPr>
          <w:b/>
          <w:bCs/>
          <w:sz w:val="28"/>
          <w:lang w:val="en-US"/>
        </w:rPr>
        <w:t>CERTIFICATE COURSE FOR NON-BANKING FINANCIAL COMPANIES</w:t>
      </w:r>
    </w:p>
    <w:tbl>
      <w:tblPr>
        <w:tblW w:w="9318" w:type="dxa"/>
        <w:tblLook w:val="04A0" w:firstRow="1" w:lastRow="0" w:firstColumn="1" w:lastColumn="0" w:noHBand="0" w:noVBand="1"/>
      </w:tblPr>
      <w:tblGrid>
        <w:gridCol w:w="1129"/>
        <w:gridCol w:w="8189"/>
      </w:tblGrid>
      <w:tr w:rsidR="004B591C" w:rsidRPr="004B591C" w14:paraId="01414506" w14:textId="77777777" w:rsidTr="004B591C">
        <w:trPr>
          <w:trHeight w:val="88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A4C4D" w14:textId="77777777" w:rsidR="004B591C" w:rsidRPr="004B591C" w:rsidRDefault="004B591C" w:rsidP="004B591C">
            <w:pPr>
              <w:spacing w:after="0" w:line="240" w:lineRule="auto"/>
              <w:jc w:val="center"/>
              <w:rPr>
                <w:rFonts w:ascii="Calibri" w:eastAsia="Times New Roman" w:hAnsi="Calibri" w:cs="Calibri"/>
                <w:b/>
                <w:bCs/>
                <w:color w:val="000000"/>
                <w:kern w:val="0"/>
                <w:sz w:val="24"/>
                <w:szCs w:val="24"/>
                <w:lang w:eastAsia="en-IN"/>
                <w14:ligatures w14:val="none"/>
              </w:rPr>
            </w:pPr>
            <w:r w:rsidRPr="004B591C">
              <w:rPr>
                <w:rFonts w:ascii="Calibri" w:eastAsia="Times New Roman" w:hAnsi="Calibri" w:cs="Calibri"/>
                <w:b/>
                <w:bCs/>
                <w:color w:val="000000"/>
                <w:kern w:val="0"/>
                <w:sz w:val="24"/>
                <w:szCs w:val="24"/>
                <w:lang w:eastAsia="en-IN"/>
                <w14:ligatures w14:val="none"/>
              </w:rPr>
              <w:t>S.no.</w:t>
            </w:r>
          </w:p>
        </w:tc>
        <w:tc>
          <w:tcPr>
            <w:tcW w:w="8189" w:type="dxa"/>
            <w:tcBorders>
              <w:top w:val="single" w:sz="4" w:space="0" w:color="auto"/>
              <w:left w:val="nil"/>
              <w:bottom w:val="single" w:sz="4" w:space="0" w:color="auto"/>
              <w:right w:val="single" w:sz="4" w:space="0" w:color="auto"/>
            </w:tcBorders>
            <w:shd w:val="clear" w:color="auto" w:fill="auto"/>
            <w:vAlign w:val="center"/>
            <w:hideMark/>
          </w:tcPr>
          <w:p w14:paraId="0ADDFD0B" w14:textId="77777777" w:rsidR="004B591C" w:rsidRPr="004B591C" w:rsidRDefault="004B591C" w:rsidP="004B591C">
            <w:pPr>
              <w:spacing w:after="0" w:line="240" w:lineRule="auto"/>
              <w:rPr>
                <w:rFonts w:ascii="Calibri" w:eastAsia="Times New Roman" w:hAnsi="Calibri" w:cs="Calibri"/>
                <w:b/>
                <w:bCs/>
                <w:color w:val="000000"/>
                <w:kern w:val="0"/>
                <w:sz w:val="24"/>
                <w:szCs w:val="24"/>
                <w:lang w:eastAsia="en-IN"/>
                <w14:ligatures w14:val="none"/>
              </w:rPr>
            </w:pPr>
            <w:r w:rsidRPr="004B591C">
              <w:rPr>
                <w:rFonts w:ascii="Calibri" w:eastAsia="Times New Roman" w:hAnsi="Calibri" w:cs="Calibri"/>
                <w:b/>
                <w:bCs/>
                <w:color w:val="000000"/>
                <w:kern w:val="0"/>
                <w:sz w:val="24"/>
                <w:szCs w:val="24"/>
                <w:lang w:eastAsia="en-IN"/>
                <w14:ligatures w14:val="none"/>
              </w:rPr>
              <w:t>RBI Notifications</w:t>
            </w:r>
          </w:p>
        </w:tc>
      </w:tr>
      <w:tr w:rsidR="004B591C" w:rsidRPr="004B591C" w14:paraId="3E3FC252" w14:textId="77777777" w:rsidTr="004B591C">
        <w:trPr>
          <w:trHeight w:val="293"/>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001A93B" w14:textId="5995C92E" w:rsidR="004B591C" w:rsidRPr="004B591C" w:rsidRDefault="004B591C" w:rsidP="004B591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w:t>
            </w:r>
          </w:p>
        </w:tc>
        <w:tc>
          <w:tcPr>
            <w:tcW w:w="8189" w:type="dxa"/>
            <w:tcBorders>
              <w:top w:val="nil"/>
              <w:left w:val="nil"/>
              <w:bottom w:val="single" w:sz="4" w:space="0" w:color="auto"/>
              <w:right w:val="single" w:sz="4" w:space="0" w:color="auto"/>
            </w:tcBorders>
            <w:shd w:val="clear" w:color="auto" w:fill="auto"/>
            <w:vAlign w:val="center"/>
            <w:hideMark/>
          </w:tcPr>
          <w:p w14:paraId="1AC6232A" w14:textId="77777777" w:rsidR="004B591C" w:rsidRPr="004B591C" w:rsidRDefault="004B591C" w:rsidP="004B591C">
            <w:pPr>
              <w:spacing w:after="0" w:line="240" w:lineRule="auto"/>
              <w:jc w:val="both"/>
              <w:rPr>
                <w:rFonts w:ascii="Calibri" w:eastAsia="Times New Roman" w:hAnsi="Calibri" w:cs="Calibri"/>
                <w:color w:val="000000"/>
                <w:kern w:val="0"/>
                <w:sz w:val="24"/>
                <w:szCs w:val="24"/>
                <w:lang w:eastAsia="en-IN"/>
                <w14:ligatures w14:val="none"/>
              </w:rPr>
            </w:pPr>
            <w:r w:rsidRPr="004B591C">
              <w:rPr>
                <w:rFonts w:ascii="Calibri" w:eastAsia="Times New Roman" w:hAnsi="Calibri" w:cs="Calibri"/>
                <w:color w:val="000000"/>
                <w:kern w:val="0"/>
                <w:sz w:val="24"/>
                <w:szCs w:val="24"/>
                <w:lang w:eastAsia="en-IN"/>
                <w14:ligatures w14:val="none"/>
              </w:rPr>
              <w:t>Fair Lending Practice - Penal Charges in Loan Accounts</w:t>
            </w:r>
          </w:p>
        </w:tc>
      </w:tr>
      <w:tr w:rsidR="004B591C" w:rsidRPr="004B591C" w14:paraId="176F4A57" w14:textId="77777777" w:rsidTr="004B591C">
        <w:trPr>
          <w:trHeight w:val="255"/>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F0EA93E" w14:textId="6253D229" w:rsidR="004B591C" w:rsidRPr="004B591C" w:rsidRDefault="004B591C" w:rsidP="004B591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w:t>
            </w:r>
          </w:p>
        </w:tc>
        <w:tc>
          <w:tcPr>
            <w:tcW w:w="8189" w:type="dxa"/>
            <w:tcBorders>
              <w:top w:val="nil"/>
              <w:left w:val="nil"/>
              <w:bottom w:val="single" w:sz="4" w:space="0" w:color="auto"/>
              <w:right w:val="single" w:sz="4" w:space="0" w:color="auto"/>
            </w:tcBorders>
            <w:shd w:val="clear" w:color="auto" w:fill="auto"/>
            <w:vAlign w:val="center"/>
            <w:hideMark/>
          </w:tcPr>
          <w:p w14:paraId="607F871D" w14:textId="77777777" w:rsidR="004B591C" w:rsidRPr="004B591C" w:rsidRDefault="004B591C" w:rsidP="004B591C">
            <w:pPr>
              <w:spacing w:after="0" w:line="240" w:lineRule="auto"/>
              <w:jc w:val="both"/>
              <w:rPr>
                <w:rFonts w:ascii="Calibri" w:eastAsia="Times New Roman" w:hAnsi="Calibri" w:cs="Calibri"/>
                <w:color w:val="000000"/>
                <w:kern w:val="0"/>
                <w:sz w:val="24"/>
                <w:szCs w:val="24"/>
                <w:lang w:eastAsia="en-IN"/>
                <w14:ligatures w14:val="none"/>
              </w:rPr>
            </w:pPr>
            <w:r w:rsidRPr="004B591C">
              <w:rPr>
                <w:rFonts w:ascii="Calibri" w:eastAsia="Times New Roman" w:hAnsi="Calibri" w:cs="Calibri"/>
                <w:color w:val="000000"/>
                <w:kern w:val="0"/>
                <w:sz w:val="24"/>
                <w:szCs w:val="24"/>
                <w:lang w:eastAsia="en-IN"/>
                <w14:ligatures w14:val="none"/>
              </w:rPr>
              <w:t>Reset of Floating Interest Rate on Equated Monthly Instalments (EMI) based Personal Loans</w:t>
            </w:r>
          </w:p>
        </w:tc>
      </w:tr>
      <w:tr w:rsidR="004B591C" w:rsidRPr="004B591C" w14:paraId="03FEA18F" w14:textId="77777777" w:rsidTr="004B591C">
        <w:trPr>
          <w:trHeight w:val="587"/>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383A72D" w14:textId="44B250AD" w:rsidR="004B591C" w:rsidRPr="004B591C" w:rsidRDefault="004B591C" w:rsidP="004B591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3</w:t>
            </w:r>
          </w:p>
        </w:tc>
        <w:tc>
          <w:tcPr>
            <w:tcW w:w="8189" w:type="dxa"/>
            <w:tcBorders>
              <w:top w:val="nil"/>
              <w:left w:val="nil"/>
              <w:bottom w:val="single" w:sz="4" w:space="0" w:color="auto"/>
              <w:right w:val="single" w:sz="4" w:space="0" w:color="auto"/>
            </w:tcBorders>
            <w:shd w:val="clear" w:color="auto" w:fill="auto"/>
            <w:vAlign w:val="center"/>
            <w:hideMark/>
          </w:tcPr>
          <w:p w14:paraId="0CB12C56" w14:textId="77777777" w:rsidR="004B591C" w:rsidRPr="004B591C" w:rsidRDefault="004B591C" w:rsidP="004B591C">
            <w:pPr>
              <w:spacing w:after="0" w:line="240" w:lineRule="auto"/>
              <w:jc w:val="both"/>
              <w:rPr>
                <w:rFonts w:ascii="Calibri" w:eastAsia="Times New Roman" w:hAnsi="Calibri" w:cs="Calibri"/>
                <w:color w:val="000000"/>
                <w:kern w:val="0"/>
                <w:sz w:val="24"/>
                <w:szCs w:val="24"/>
                <w:lang w:eastAsia="en-IN"/>
                <w14:ligatures w14:val="none"/>
              </w:rPr>
            </w:pPr>
            <w:r w:rsidRPr="004B591C">
              <w:rPr>
                <w:rFonts w:ascii="Calibri" w:eastAsia="Times New Roman" w:hAnsi="Calibri" w:cs="Calibri"/>
                <w:color w:val="000000"/>
                <w:kern w:val="0"/>
                <w:sz w:val="24"/>
                <w:szCs w:val="24"/>
                <w:lang w:eastAsia="en-IN"/>
                <w14:ligatures w14:val="none"/>
              </w:rPr>
              <w:t>Enhancing transaction limits for Small Value Digital Payments in Offline Mode</w:t>
            </w:r>
          </w:p>
        </w:tc>
      </w:tr>
      <w:tr w:rsidR="004B591C" w:rsidRPr="004B591C" w14:paraId="6773E157" w14:textId="77777777" w:rsidTr="004B591C">
        <w:trPr>
          <w:trHeight w:val="484"/>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A8894E8" w14:textId="07CDD844" w:rsidR="004B591C" w:rsidRPr="004B591C" w:rsidRDefault="004B591C" w:rsidP="004B591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4</w:t>
            </w:r>
          </w:p>
        </w:tc>
        <w:tc>
          <w:tcPr>
            <w:tcW w:w="8189" w:type="dxa"/>
            <w:tcBorders>
              <w:top w:val="nil"/>
              <w:left w:val="nil"/>
              <w:bottom w:val="single" w:sz="4" w:space="0" w:color="auto"/>
              <w:right w:val="single" w:sz="4" w:space="0" w:color="auto"/>
            </w:tcBorders>
            <w:shd w:val="clear" w:color="auto" w:fill="auto"/>
            <w:vAlign w:val="center"/>
            <w:hideMark/>
          </w:tcPr>
          <w:p w14:paraId="44C57DB2" w14:textId="77777777" w:rsidR="004B591C" w:rsidRPr="004B591C" w:rsidRDefault="004B591C" w:rsidP="004B591C">
            <w:pPr>
              <w:spacing w:after="0" w:line="240" w:lineRule="auto"/>
              <w:jc w:val="both"/>
              <w:rPr>
                <w:rFonts w:ascii="Calibri" w:eastAsia="Times New Roman" w:hAnsi="Calibri" w:cs="Calibri"/>
                <w:color w:val="000000"/>
                <w:kern w:val="0"/>
                <w:sz w:val="24"/>
                <w:szCs w:val="24"/>
                <w:lang w:eastAsia="en-IN"/>
                <w14:ligatures w14:val="none"/>
              </w:rPr>
            </w:pPr>
            <w:r w:rsidRPr="004B591C">
              <w:rPr>
                <w:rFonts w:ascii="Calibri" w:eastAsia="Times New Roman" w:hAnsi="Calibri" w:cs="Calibri"/>
                <w:color w:val="000000"/>
                <w:kern w:val="0"/>
                <w:sz w:val="24"/>
                <w:szCs w:val="24"/>
                <w:lang w:eastAsia="en-IN"/>
                <w14:ligatures w14:val="none"/>
              </w:rPr>
              <w:t>Responsible Lending Conduct – Release of Movable / Immovable Property Documents on Repayment/ Settlement of Personal Loans</w:t>
            </w:r>
          </w:p>
        </w:tc>
      </w:tr>
      <w:tr w:rsidR="004B591C" w:rsidRPr="004B591C" w14:paraId="72897ACB" w14:textId="77777777" w:rsidTr="004B591C">
        <w:trPr>
          <w:trHeight w:val="293"/>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398B1FA" w14:textId="7EEE4CE4" w:rsidR="004B591C" w:rsidRPr="004B591C" w:rsidRDefault="004B591C" w:rsidP="004B591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5</w:t>
            </w:r>
          </w:p>
        </w:tc>
        <w:tc>
          <w:tcPr>
            <w:tcW w:w="8189" w:type="dxa"/>
            <w:tcBorders>
              <w:top w:val="nil"/>
              <w:left w:val="nil"/>
              <w:bottom w:val="single" w:sz="4" w:space="0" w:color="auto"/>
              <w:right w:val="single" w:sz="4" w:space="0" w:color="auto"/>
            </w:tcBorders>
            <w:shd w:val="clear" w:color="auto" w:fill="auto"/>
            <w:vAlign w:val="center"/>
            <w:hideMark/>
          </w:tcPr>
          <w:p w14:paraId="73F0A8D2" w14:textId="77777777" w:rsidR="004B591C" w:rsidRPr="004B591C" w:rsidRDefault="004B591C" w:rsidP="004B591C">
            <w:pPr>
              <w:spacing w:after="0" w:line="240" w:lineRule="auto"/>
              <w:jc w:val="both"/>
              <w:rPr>
                <w:rFonts w:ascii="Calibri" w:eastAsia="Times New Roman" w:hAnsi="Calibri" w:cs="Calibri"/>
                <w:color w:val="000000"/>
                <w:kern w:val="0"/>
                <w:sz w:val="24"/>
                <w:szCs w:val="24"/>
                <w:lang w:eastAsia="en-IN"/>
                <w14:ligatures w14:val="none"/>
              </w:rPr>
            </w:pPr>
            <w:r w:rsidRPr="004B591C">
              <w:rPr>
                <w:rFonts w:ascii="Calibri" w:eastAsia="Times New Roman" w:hAnsi="Calibri" w:cs="Calibri"/>
                <w:color w:val="000000"/>
                <w:kern w:val="0"/>
                <w:sz w:val="24"/>
                <w:szCs w:val="24"/>
                <w:lang w:eastAsia="en-IN"/>
                <w14:ligatures w14:val="none"/>
              </w:rPr>
              <w:t>PM Vishwakarma Scheme</w:t>
            </w:r>
          </w:p>
        </w:tc>
      </w:tr>
      <w:tr w:rsidR="004B591C" w:rsidRPr="004B591C" w14:paraId="42BAA86A" w14:textId="77777777" w:rsidTr="004B591C">
        <w:trPr>
          <w:trHeight w:val="587"/>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F38BD5A" w14:textId="1708BCC5" w:rsidR="004B591C" w:rsidRPr="004B591C" w:rsidRDefault="004B591C" w:rsidP="004B591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6</w:t>
            </w:r>
          </w:p>
        </w:tc>
        <w:tc>
          <w:tcPr>
            <w:tcW w:w="8189" w:type="dxa"/>
            <w:tcBorders>
              <w:top w:val="nil"/>
              <w:left w:val="nil"/>
              <w:bottom w:val="single" w:sz="4" w:space="0" w:color="auto"/>
              <w:right w:val="single" w:sz="4" w:space="0" w:color="auto"/>
            </w:tcBorders>
            <w:shd w:val="clear" w:color="auto" w:fill="auto"/>
            <w:vAlign w:val="center"/>
            <w:hideMark/>
          </w:tcPr>
          <w:p w14:paraId="5EC4E60F" w14:textId="77777777" w:rsidR="004B591C" w:rsidRPr="004B591C" w:rsidRDefault="004B591C" w:rsidP="004B591C">
            <w:pPr>
              <w:spacing w:after="0" w:line="240" w:lineRule="auto"/>
              <w:jc w:val="both"/>
              <w:rPr>
                <w:rFonts w:ascii="Calibri" w:eastAsia="Times New Roman" w:hAnsi="Calibri" w:cs="Calibri"/>
                <w:color w:val="000000"/>
                <w:kern w:val="0"/>
                <w:sz w:val="24"/>
                <w:szCs w:val="24"/>
                <w:lang w:eastAsia="en-IN"/>
                <w14:ligatures w14:val="none"/>
              </w:rPr>
            </w:pPr>
            <w:r w:rsidRPr="004B591C">
              <w:rPr>
                <w:rFonts w:ascii="Calibri" w:eastAsia="Times New Roman" w:hAnsi="Calibri" w:cs="Calibri"/>
                <w:color w:val="000000"/>
                <w:kern w:val="0"/>
                <w:sz w:val="24"/>
                <w:szCs w:val="24"/>
                <w:lang w:eastAsia="en-IN"/>
                <w14:ligatures w14:val="none"/>
              </w:rPr>
              <w:t>Data Quality Index for Commercial and Microfinance Segments by Credit Information Companies</w:t>
            </w:r>
          </w:p>
        </w:tc>
      </w:tr>
      <w:tr w:rsidR="004B591C" w:rsidRPr="004B591C" w14:paraId="01FB0317" w14:textId="77777777" w:rsidTr="004B591C">
        <w:trPr>
          <w:trHeight w:val="587"/>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DDBB19E" w14:textId="453E8172" w:rsidR="004B591C" w:rsidRPr="004B591C" w:rsidRDefault="004B591C" w:rsidP="004B591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7</w:t>
            </w:r>
          </w:p>
        </w:tc>
        <w:tc>
          <w:tcPr>
            <w:tcW w:w="8189" w:type="dxa"/>
            <w:tcBorders>
              <w:top w:val="nil"/>
              <w:left w:val="nil"/>
              <w:bottom w:val="single" w:sz="4" w:space="0" w:color="auto"/>
              <w:right w:val="single" w:sz="4" w:space="0" w:color="auto"/>
            </w:tcBorders>
            <w:shd w:val="clear" w:color="auto" w:fill="auto"/>
            <w:vAlign w:val="center"/>
            <w:hideMark/>
          </w:tcPr>
          <w:p w14:paraId="4039BC56" w14:textId="77777777" w:rsidR="004B591C" w:rsidRPr="004B591C" w:rsidRDefault="004B591C" w:rsidP="004B591C">
            <w:pPr>
              <w:spacing w:after="0" w:line="240" w:lineRule="auto"/>
              <w:jc w:val="both"/>
              <w:rPr>
                <w:rFonts w:ascii="Calibri" w:eastAsia="Times New Roman" w:hAnsi="Calibri" w:cs="Calibri"/>
                <w:color w:val="000000"/>
                <w:kern w:val="0"/>
                <w:sz w:val="24"/>
                <w:szCs w:val="24"/>
                <w:lang w:eastAsia="en-IN"/>
                <w14:ligatures w14:val="none"/>
              </w:rPr>
            </w:pPr>
            <w:r w:rsidRPr="004B591C">
              <w:rPr>
                <w:rFonts w:ascii="Calibri" w:eastAsia="Times New Roman" w:hAnsi="Calibri" w:cs="Calibri"/>
                <w:color w:val="000000"/>
                <w:kern w:val="0"/>
                <w:sz w:val="24"/>
                <w:szCs w:val="24"/>
                <w:lang w:eastAsia="en-IN"/>
                <w14:ligatures w14:val="none"/>
              </w:rPr>
              <w:t>Display of information - Secured assets possessed under the SARFAESI Act, 2002</w:t>
            </w:r>
          </w:p>
        </w:tc>
      </w:tr>
      <w:tr w:rsidR="004B591C" w:rsidRPr="004B591C" w14:paraId="6FA2D7CA" w14:textId="77777777" w:rsidTr="004B591C">
        <w:trPr>
          <w:trHeight w:val="646"/>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5B246A6" w14:textId="09F8CEE1" w:rsidR="004B591C" w:rsidRPr="004B591C" w:rsidRDefault="004B591C" w:rsidP="004B591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8</w:t>
            </w:r>
          </w:p>
        </w:tc>
        <w:tc>
          <w:tcPr>
            <w:tcW w:w="8189" w:type="dxa"/>
            <w:tcBorders>
              <w:top w:val="nil"/>
              <w:left w:val="nil"/>
              <w:bottom w:val="single" w:sz="4" w:space="0" w:color="auto"/>
              <w:right w:val="single" w:sz="4" w:space="0" w:color="auto"/>
            </w:tcBorders>
            <w:shd w:val="clear" w:color="auto" w:fill="auto"/>
            <w:vAlign w:val="center"/>
            <w:hideMark/>
          </w:tcPr>
          <w:p w14:paraId="734D181C" w14:textId="77777777" w:rsidR="004B591C" w:rsidRPr="004B591C" w:rsidRDefault="004B591C" w:rsidP="004B591C">
            <w:pPr>
              <w:spacing w:after="0" w:line="240" w:lineRule="auto"/>
              <w:jc w:val="both"/>
              <w:rPr>
                <w:rFonts w:ascii="Calibri" w:eastAsia="Times New Roman" w:hAnsi="Calibri" w:cs="Calibri"/>
                <w:color w:val="000000"/>
                <w:kern w:val="0"/>
                <w:sz w:val="24"/>
                <w:szCs w:val="24"/>
                <w:lang w:eastAsia="en-IN"/>
                <w14:ligatures w14:val="none"/>
              </w:rPr>
            </w:pPr>
            <w:r w:rsidRPr="004B591C">
              <w:rPr>
                <w:rFonts w:ascii="Calibri" w:eastAsia="Times New Roman" w:hAnsi="Calibri" w:cs="Calibri"/>
                <w:color w:val="000000"/>
                <w:kern w:val="0"/>
                <w:sz w:val="24"/>
                <w:szCs w:val="24"/>
                <w:lang w:eastAsia="en-IN"/>
                <w14:ligatures w14:val="none"/>
              </w:rPr>
              <w:t>Prompt Corrective Action (PCA) Framework for Non-Banking Financial Companies (NBFCs) – Extension to Government NBFCs</w:t>
            </w:r>
          </w:p>
        </w:tc>
      </w:tr>
      <w:tr w:rsidR="004B591C" w:rsidRPr="004B591C" w14:paraId="34F266F4" w14:textId="77777777" w:rsidTr="004B591C">
        <w:trPr>
          <w:trHeight w:val="293"/>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53D56B2" w14:textId="292546C3" w:rsidR="004B591C" w:rsidRPr="004B591C" w:rsidRDefault="004B591C" w:rsidP="004B591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9</w:t>
            </w:r>
          </w:p>
        </w:tc>
        <w:tc>
          <w:tcPr>
            <w:tcW w:w="8189" w:type="dxa"/>
            <w:tcBorders>
              <w:top w:val="nil"/>
              <w:left w:val="nil"/>
              <w:bottom w:val="single" w:sz="4" w:space="0" w:color="auto"/>
              <w:right w:val="single" w:sz="4" w:space="0" w:color="auto"/>
            </w:tcBorders>
            <w:shd w:val="clear" w:color="auto" w:fill="auto"/>
            <w:vAlign w:val="center"/>
            <w:hideMark/>
          </w:tcPr>
          <w:p w14:paraId="2D33BD50" w14:textId="77777777" w:rsidR="004B591C" w:rsidRPr="004B591C" w:rsidRDefault="004B591C" w:rsidP="004B591C">
            <w:pPr>
              <w:spacing w:after="0" w:line="240" w:lineRule="auto"/>
              <w:jc w:val="both"/>
              <w:rPr>
                <w:rFonts w:ascii="Calibri" w:eastAsia="Times New Roman" w:hAnsi="Calibri" w:cs="Calibri"/>
                <w:color w:val="000000"/>
                <w:kern w:val="0"/>
                <w:sz w:val="24"/>
                <w:szCs w:val="24"/>
                <w:lang w:eastAsia="en-IN"/>
                <w14:ligatures w14:val="none"/>
              </w:rPr>
            </w:pPr>
            <w:r w:rsidRPr="004B591C">
              <w:rPr>
                <w:rFonts w:ascii="Calibri" w:eastAsia="Times New Roman" w:hAnsi="Calibri" w:cs="Calibri"/>
                <w:color w:val="000000"/>
                <w:kern w:val="0"/>
                <w:sz w:val="24"/>
                <w:szCs w:val="24"/>
                <w:lang w:eastAsia="en-IN"/>
                <w14:ligatures w14:val="none"/>
              </w:rPr>
              <w:t>Amendment to the Master Direction (MD) on KYC</w:t>
            </w:r>
          </w:p>
        </w:tc>
      </w:tr>
      <w:tr w:rsidR="004B591C" w:rsidRPr="004B591C" w14:paraId="47F6DF97" w14:textId="77777777" w:rsidTr="004B591C">
        <w:trPr>
          <w:trHeight w:val="674"/>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2645DA8" w14:textId="409DF7F7" w:rsidR="004B591C" w:rsidRPr="004B591C" w:rsidRDefault="004B591C" w:rsidP="004B591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10</w:t>
            </w:r>
          </w:p>
        </w:tc>
        <w:tc>
          <w:tcPr>
            <w:tcW w:w="8189" w:type="dxa"/>
            <w:tcBorders>
              <w:top w:val="nil"/>
              <w:left w:val="nil"/>
              <w:bottom w:val="single" w:sz="4" w:space="0" w:color="auto"/>
              <w:right w:val="single" w:sz="4" w:space="0" w:color="auto"/>
            </w:tcBorders>
            <w:shd w:val="clear" w:color="auto" w:fill="auto"/>
            <w:vAlign w:val="center"/>
            <w:hideMark/>
          </w:tcPr>
          <w:p w14:paraId="6F69C6A7" w14:textId="77777777" w:rsidR="004B591C" w:rsidRPr="004B591C" w:rsidRDefault="004B591C" w:rsidP="004B591C">
            <w:pPr>
              <w:spacing w:after="0" w:line="240" w:lineRule="auto"/>
              <w:jc w:val="both"/>
              <w:rPr>
                <w:rFonts w:ascii="Calibri" w:eastAsia="Times New Roman" w:hAnsi="Calibri" w:cs="Calibri"/>
                <w:color w:val="000000"/>
                <w:kern w:val="0"/>
                <w:sz w:val="24"/>
                <w:szCs w:val="24"/>
                <w:lang w:eastAsia="en-IN"/>
                <w14:ligatures w14:val="none"/>
              </w:rPr>
            </w:pPr>
            <w:r w:rsidRPr="004B591C">
              <w:rPr>
                <w:rFonts w:ascii="Calibri" w:eastAsia="Times New Roman" w:hAnsi="Calibri" w:cs="Calibri"/>
                <w:color w:val="000000"/>
                <w:kern w:val="0"/>
                <w:sz w:val="24"/>
                <w:szCs w:val="24"/>
                <w:lang w:eastAsia="en-IN"/>
                <w14:ligatures w14:val="none"/>
              </w:rPr>
              <w:t>Master Direction – Reserve Bank of India (Non-Banking Financial Company – Scale Based Regulation) Directions, 2023 (Updated as on November 10, 2023)</w:t>
            </w:r>
          </w:p>
        </w:tc>
      </w:tr>
      <w:tr w:rsidR="004B591C" w:rsidRPr="004B591C" w14:paraId="3AB8AC43" w14:textId="77777777" w:rsidTr="004B591C">
        <w:trPr>
          <w:trHeight w:val="587"/>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4EC857C" w14:textId="09D9EEE9" w:rsidR="004B591C" w:rsidRPr="004B591C" w:rsidRDefault="004B591C" w:rsidP="004B591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11</w:t>
            </w:r>
          </w:p>
        </w:tc>
        <w:tc>
          <w:tcPr>
            <w:tcW w:w="8189" w:type="dxa"/>
            <w:tcBorders>
              <w:top w:val="nil"/>
              <w:left w:val="nil"/>
              <w:bottom w:val="single" w:sz="4" w:space="0" w:color="auto"/>
              <w:right w:val="single" w:sz="4" w:space="0" w:color="auto"/>
            </w:tcBorders>
            <w:shd w:val="clear" w:color="auto" w:fill="auto"/>
            <w:vAlign w:val="center"/>
            <w:hideMark/>
          </w:tcPr>
          <w:p w14:paraId="60C9D9E2" w14:textId="77777777" w:rsidR="004B591C" w:rsidRPr="004B591C" w:rsidRDefault="004B591C" w:rsidP="004B591C">
            <w:pPr>
              <w:spacing w:after="0" w:line="240" w:lineRule="auto"/>
              <w:jc w:val="both"/>
              <w:rPr>
                <w:rFonts w:ascii="Calibri" w:eastAsia="Times New Roman" w:hAnsi="Calibri" w:cs="Calibri"/>
                <w:color w:val="000000"/>
                <w:kern w:val="0"/>
                <w:sz w:val="24"/>
                <w:szCs w:val="24"/>
                <w:lang w:eastAsia="en-IN"/>
                <w14:ligatures w14:val="none"/>
              </w:rPr>
            </w:pPr>
            <w:r w:rsidRPr="004B591C">
              <w:rPr>
                <w:rFonts w:ascii="Calibri" w:eastAsia="Times New Roman" w:hAnsi="Calibri" w:cs="Calibri"/>
                <w:color w:val="000000"/>
                <w:kern w:val="0"/>
                <w:sz w:val="24"/>
                <w:szCs w:val="24"/>
                <w:lang w:eastAsia="en-IN"/>
                <w14:ligatures w14:val="none"/>
              </w:rPr>
              <w:t>Strengthening of customer service rendered by Credit Information Companies and Credit Institutions</w:t>
            </w:r>
          </w:p>
        </w:tc>
      </w:tr>
      <w:tr w:rsidR="004B591C" w:rsidRPr="004B591C" w14:paraId="03223911" w14:textId="77777777" w:rsidTr="004B591C">
        <w:trPr>
          <w:trHeight w:val="587"/>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9B5552A" w14:textId="3F05A20C" w:rsidR="004B591C" w:rsidRPr="004B591C" w:rsidRDefault="004B591C" w:rsidP="004B591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12</w:t>
            </w:r>
          </w:p>
        </w:tc>
        <w:tc>
          <w:tcPr>
            <w:tcW w:w="8189" w:type="dxa"/>
            <w:tcBorders>
              <w:top w:val="nil"/>
              <w:left w:val="nil"/>
              <w:bottom w:val="single" w:sz="4" w:space="0" w:color="auto"/>
              <w:right w:val="single" w:sz="4" w:space="0" w:color="auto"/>
            </w:tcBorders>
            <w:shd w:val="clear" w:color="auto" w:fill="auto"/>
            <w:vAlign w:val="center"/>
            <w:hideMark/>
          </w:tcPr>
          <w:p w14:paraId="1C910965" w14:textId="77777777" w:rsidR="004B591C" w:rsidRPr="004B591C" w:rsidRDefault="004B591C" w:rsidP="004B591C">
            <w:pPr>
              <w:spacing w:after="0" w:line="240" w:lineRule="auto"/>
              <w:jc w:val="both"/>
              <w:rPr>
                <w:rFonts w:ascii="Calibri" w:eastAsia="Times New Roman" w:hAnsi="Calibri" w:cs="Calibri"/>
                <w:color w:val="000000"/>
                <w:kern w:val="0"/>
                <w:sz w:val="24"/>
                <w:szCs w:val="24"/>
                <w:lang w:eastAsia="en-IN"/>
                <w14:ligatures w14:val="none"/>
              </w:rPr>
            </w:pPr>
            <w:r w:rsidRPr="004B591C">
              <w:rPr>
                <w:rFonts w:ascii="Calibri" w:eastAsia="Times New Roman" w:hAnsi="Calibri" w:cs="Calibri"/>
                <w:color w:val="000000"/>
                <w:kern w:val="0"/>
                <w:sz w:val="24"/>
                <w:szCs w:val="24"/>
                <w:lang w:eastAsia="en-IN"/>
                <w14:ligatures w14:val="none"/>
              </w:rPr>
              <w:t>Framework for compensation to customers for delayed updation/ rectification of credit information</w:t>
            </w:r>
          </w:p>
        </w:tc>
      </w:tr>
      <w:tr w:rsidR="004B591C" w:rsidRPr="004B591C" w14:paraId="17737359" w14:textId="77777777" w:rsidTr="004B591C">
        <w:trPr>
          <w:trHeight w:val="587"/>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2F3FEB1" w14:textId="1D789D0E" w:rsidR="004B591C" w:rsidRPr="004B591C" w:rsidRDefault="004B591C" w:rsidP="004B591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13</w:t>
            </w:r>
          </w:p>
        </w:tc>
        <w:tc>
          <w:tcPr>
            <w:tcW w:w="8189" w:type="dxa"/>
            <w:tcBorders>
              <w:top w:val="nil"/>
              <w:left w:val="nil"/>
              <w:bottom w:val="single" w:sz="4" w:space="0" w:color="auto"/>
              <w:right w:val="single" w:sz="4" w:space="0" w:color="auto"/>
            </w:tcBorders>
            <w:shd w:val="clear" w:color="auto" w:fill="auto"/>
            <w:vAlign w:val="bottom"/>
            <w:hideMark/>
          </w:tcPr>
          <w:p w14:paraId="757EAB02" w14:textId="77777777" w:rsidR="004B591C" w:rsidRPr="004B591C" w:rsidRDefault="004B591C" w:rsidP="004B591C">
            <w:pPr>
              <w:spacing w:after="0" w:line="240" w:lineRule="auto"/>
              <w:jc w:val="both"/>
              <w:rPr>
                <w:rFonts w:ascii="Calibri" w:eastAsia="Times New Roman" w:hAnsi="Calibri" w:cs="Calibri"/>
                <w:color w:val="000000"/>
                <w:kern w:val="0"/>
                <w:sz w:val="24"/>
                <w:szCs w:val="24"/>
                <w:lang w:eastAsia="en-IN"/>
                <w14:ligatures w14:val="none"/>
              </w:rPr>
            </w:pPr>
            <w:r w:rsidRPr="004B591C">
              <w:rPr>
                <w:rFonts w:ascii="Calibri" w:eastAsia="Times New Roman" w:hAnsi="Calibri" w:cs="Calibri"/>
                <w:color w:val="000000"/>
                <w:kern w:val="0"/>
                <w:sz w:val="24"/>
                <w:szCs w:val="24"/>
                <w:lang w:eastAsia="en-IN"/>
                <w14:ligatures w14:val="none"/>
              </w:rPr>
              <w:t>Review of Financial Information Provider (FIP) under Account Aggregator Framework</w:t>
            </w:r>
          </w:p>
        </w:tc>
      </w:tr>
      <w:tr w:rsidR="004B591C" w:rsidRPr="004B591C" w14:paraId="37FA1F1B" w14:textId="77777777" w:rsidTr="004B591C">
        <w:trPr>
          <w:trHeight w:val="259"/>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31CEE7B" w14:textId="7851F9D9" w:rsidR="004B591C" w:rsidRPr="004B591C" w:rsidRDefault="004B591C" w:rsidP="004B591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14</w:t>
            </w:r>
          </w:p>
        </w:tc>
        <w:tc>
          <w:tcPr>
            <w:tcW w:w="8189" w:type="dxa"/>
            <w:tcBorders>
              <w:top w:val="nil"/>
              <w:left w:val="nil"/>
              <w:bottom w:val="single" w:sz="4" w:space="0" w:color="auto"/>
              <w:right w:val="single" w:sz="4" w:space="0" w:color="auto"/>
            </w:tcBorders>
            <w:shd w:val="clear" w:color="auto" w:fill="auto"/>
            <w:vAlign w:val="bottom"/>
            <w:hideMark/>
          </w:tcPr>
          <w:p w14:paraId="47F5B3A8" w14:textId="77777777" w:rsidR="004B591C" w:rsidRPr="004B591C" w:rsidRDefault="004B591C" w:rsidP="004B591C">
            <w:pPr>
              <w:spacing w:after="0" w:line="240" w:lineRule="auto"/>
              <w:jc w:val="both"/>
              <w:rPr>
                <w:rFonts w:ascii="Calibri" w:eastAsia="Times New Roman" w:hAnsi="Calibri" w:cs="Calibri"/>
                <w:color w:val="000000"/>
                <w:kern w:val="0"/>
                <w:sz w:val="24"/>
                <w:szCs w:val="24"/>
                <w:lang w:eastAsia="en-IN"/>
                <w14:ligatures w14:val="none"/>
              </w:rPr>
            </w:pPr>
            <w:r w:rsidRPr="004B591C">
              <w:rPr>
                <w:rFonts w:ascii="Calibri" w:eastAsia="Times New Roman" w:hAnsi="Calibri" w:cs="Calibri"/>
                <w:color w:val="000000"/>
                <w:kern w:val="0"/>
                <w:sz w:val="24"/>
                <w:szCs w:val="24"/>
                <w:lang w:eastAsia="en-IN"/>
                <w14:ligatures w14:val="none"/>
              </w:rPr>
              <w:t>Joining the Account Aggregator Ecosystem as Financial Information User</w:t>
            </w:r>
          </w:p>
        </w:tc>
      </w:tr>
      <w:tr w:rsidR="004B591C" w:rsidRPr="004B591C" w14:paraId="2242C798" w14:textId="77777777" w:rsidTr="004B591C">
        <w:trPr>
          <w:trHeight w:val="587"/>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18817F1" w14:textId="7DA43E53" w:rsidR="004B591C" w:rsidRPr="004B591C" w:rsidRDefault="004B591C" w:rsidP="004B591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15</w:t>
            </w:r>
          </w:p>
        </w:tc>
        <w:tc>
          <w:tcPr>
            <w:tcW w:w="8189" w:type="dxa"/>
            <w:tcBorders>
              <w:top w:val="nil"/>
              <w:left w:val="nil"/>
              <w:bottom w:val="single" w:sz="4" w:space="0" w:color="auto"/>
              <w:right w:val="single" w:sz="4" w:space="0" w:color="auto"/>
            </w:tcBorders>
            <w:shd w:val="clear" w:color="auto" w:fill="auto"/>
            <w:vAlign w:val="bottom"/>
            <w:hideMark/>
          </w:tcPr>
          <w:p w14:paraId="2D0B36D1" w14:textId="77777777" w:rsidR="004B591C" w:rsidRPr="004B591C" w:rsidRDefault="004B591C" w:rsidP="004B591C">
            <w:pPr>
              <w:spacing w:after="0" w:line="240" w:lineRule="auto"/>
              <w:jc w:val="both"/>
              <w:rPr>
                <w:rFonts w:ascii="Calibri" w:eastAsia="Times New Roman" w:hAnsi="Calibri" w:cs="Calibri"/>
                <w:color w:val="000000"/>
                <w:kern w:val="0"/>
                <w:sz w:val="24"/>
                <w:szCs w:val="24"/>
                <w:lang w:eastAsia="en-IN"/>
                <w14:ligatures w14:val="none"/>
              </w:rPr>
            </w:pPr>
            <w:r w:rsidRPr="004B591C">
              <w:rPr>
                <w:rFonts w:ascii="Calibri" w:eastAsia="Times New Roman" w:hAnsi="Calibri" w:cs="Calibri"/>
                <w:color w:val="000000"/>
                <w:kern w:val="0"/>
                <w:sz w:val="24"/>
                <w:szCs w:val="24"/>
                <w:lang w:eastAsia="en-IN"/>
                <w14:ligatures w14:val="none"/>
              </w:rPr>
              <w:t>Master Direction on Information Technology Governance, Risk, Controls and Assurance Practices</w:t>
            </w:r>
          </w:p>
        </w:tc>
      </w:tr>
      <w:tr w:rsidR="004B591C" w:rsidRPr="004B591C" w14:paraId="4C03368C" w14:textId="77777777" w:rsidTr="004B591C">
        <w:trPr>
          <w:trHeight w:val="191"/>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6EFD99F" w14:textId="63795564" w:rsidR="004B591C" w:rsidRPr="004B591C" w:rsidRDefault="004B591C" w:rsidP="004B591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16</w:t>
            </w:r>
          </w:p>
        </w:tc>
        <w:tc>
          <w:tcPr>
            <w:tcW w:w="8189" w:type="dxa"/>
            <w:tcBorders>
              <w:top w:val="nil"/>
              <w:left w:val="nil"/>
              <w:bottom w:val="single" w:sz="4" w:space="0" w:color="auto"/>
              <w:right w:val="single" w:sz="4" w:space="0" w:color="auto"/>
            </w:tcBorders>
            <w:shd w:val="clear" w:color="auto" w:fill="auto"/>
            <w:vAlign w:val="bottom"/>
            <w:hideMark/>
          </w:tcPr>
          <w:p w14:paraId="6A7CACEF" w14:textId="77777777" w:rsidR="004B591C" w:rsidRPr="004B591C" w:rsidRDefault="004B591C" w:rsidP="004B591C">
            <w:pPr>
              <w:spacing w:after="0" w:line="240" w:lineRule="auto"/>
              <w:jc w:val="both"/>
              <w:rPr>
                <w:rFonts w:ascii="Calibri" w:eastAsia="Times New Roman" w:hAnsi="Calibri" w:cs="Calibri"/>
                <w:color w:val="000000"/>
                <w:kern w:val="0"/>
                <w:sz w:val="24"/>
                <w:szCs w:val="24"/>
                <w:lang w:eastAsia="en-IN"/>
                <w14:ligatures w14:val="none"/>
              </w:rPr>
            </w:pPr>
            <w:r w:rsidRPr="004B591C">
              <w:rPr>
                <w:rFonts w:ascii="Calibri" w:eastAsia="Times New Roman" w:hAnsi="Calibri" w:cs="Calibri"/>
                <w:color w:val="000000"/>
                <w:kern w:val="0"/>
                <w:sz w:val="24"/>
                <w:szCs w:val="24"/>
                <w:lang w:eastAsia="en-IN"/>
                <w14:ligatures w14:val="none"/>
              </w:rPr>
              <w:t>Regulatory measures towards consumer credit and bank credit to NBFCs</w:t>
            </w:r>
          </w:p>
        </w:tc>
      </w:tr>
      <w:tr w:rsidR="004B591C" w:rsidRPr="004B591C" w14:paraId="59C237E8" w14:textId="77777777" w:rsidTr="004B591C">
        <w:trPr>
          <w:trHeight w:val="293"/>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2507E04" w14:textId="30CD4937" w:rsidR="004B591C" w:rsidRPr="004B591C" w:rsidRDefault="004B591C" w:rsidP="004B591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17</w:t>
            </w:r>
          </w:p>
        </w:tc>
        <w:tc>
          <w:tcPr>
            <w:tcW w:w="8189" w:type="dxa"/>
            <w:tcBorders>
              <w:top w:val="nil"/>
              <w:left w:val="nil"/>
              <w:bottom w:val="single" w:sz="4" w:space="0" w:color="auto"/>
              <w:right w:val="single" w:sz="4" w:space="0" w:color="auto"/>
            </w:tcBorders>
            <w:shd w:val="clear" w:color="auto" w:fill="auto"/>
            <w:vAlign w:val="bottom"/>
            <w:hideMark/>
          </w:tcPr>
          <w:p w14:paraId="54FF1B2C" w14:textId="77777777" w:rsidR="004B591C" w:rsidRPr="004B591C" w:rsidRDefault="004B591C" w:rsidP="004B591C">
            <w:pPr>
              <w:spacing w:after="0" w:line="240" w:lineRule="auto"/>
              <w:jc w:val="both"/>
              <w:rPr>
                <w:rFonts w:ascii="Calibri" w:eastAsia="Times New Roman" w:hAnsi="Calibri" w:cs="Calibri"/>
                <w:color w:val="000000"/>
                <w:kern w:val="0"/>
                <w:sz w:val="24"/>
                <w:szCs w:val="24"/>
                <w:lang w:eastAsia="en-IN"/>
                <w14:ligatures w14:val="none"/>
              </w:rPr>
            </w:pPr>
            <w:r w:rsidRPr="004B591C">
              <w:rPr>
                <w:rFonts w:ascii="Calibri" w:eastAsia="Times New Roman" w:hAnsi="Calibri" w:cs="Calibri"/>
                <w:color w:val="000000"/>
                <w:kern w:val="0"/>
                <w:sz w:val="24"/>
                <w:szCs w:val="24"/>
                <w:lang w:eastAsia="en-IN"/>
                <w14:ligatures w14:val="none"/>
              </w:rPr>
              <w:t>Investments in Alternative Investment Funds (AIFs)</w:t>
            </w:r>
          </w:p>
        </w:tc>
      </w:tr>
      <w:tr w:rsidR="004B591C" w:rsidRPr="004B591C" w14:paraId="230D0F98" w14:textId="77777777" w:rsidTr="004B591C">
        <w:trPr>
          <w:trHeight w:val="587"/>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AE79FB8" w14:textId="6753787D" w:rsidR="004B591C" w:rsidRPr="004B591C" w:rsidRDefault="004B591C" w:rsidP="004B591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18</w:t>
            </w:r>
          </w:p>
        </w:tc>
        <w:tc>
          <w:tcPr>
            <w:tcW w:w="8189" w:type="dxa"/>
            <w:tcBorders>
              <w:top w:val="nil"/>
              <w:left w:val="nil"/>
              <w:bottom w:val="single" w:sz="4" w:space="0" w:color="auto"/>
              <w:right w:val="single" w:sz="4" w:space="0" w:color="auto"/>
            </w:tcBorders>
            <w:shd w:val="clear" w:color="auto" w:fill="auto"/>
            <w:vAlign w:val="bottom"/>
            <w:hideMark/>
          </w:tcPr>
          <w:p w14:paraId="72E7008D" w14:textId="77777777" w:rsidR="004B591C" w:rsidRPr="004B591C" w:rsidRDefault="004B591C" w:rsidP="004B591C">
            <w:pPr>
              <w:spacing w:after="0" w:line="240" w:lineRule="auto"/>
              <w:jc w:val="both"/>
              <w:rPr>
                <w:rFonts w:ascii="Calibri" w:eastAsia="Times New Roman" w:hAnsi="Calibri" w:cs="Calibri"/>
                <w:color w:val="000000"/>
                <w:kern w:val="0"/>
                <w:sz w:val="24"/>
                <w:szCs w:val="24"/>
                <w:lang w:eastAsia="en-IN"/>
                <w14:ligatures w14:val="none"/>
              </w:rPr>
            </w:pPr>
            <w:r w:rsidRPr="004B591C">
              <w:rPr>
                <w:rFonts w:ascii="Calibri" w:eastAsia="Times New Roman" w:hAnsi="Calibri" w:cs="Calibri"/>
                <w:color w:val="000000"/>
                <w:kern w:val="0"/>
                <w:sz w:val="24"/>
                <w:szCs w:val="24"/>
                <w:lang w:eastAsia="en-IN"/>
                <w14:ligatures w14:val="none"/>
              </w:rPr>
              <w:t>Payments Infrastructure Development Fund – Extension of Scheme and Enhancements</w:t>
            </w:r>
          </w:p>
        </w:tc>
      </w:tr>
      <w:tr w:rsidR="004B591C" w:rsidRPr="004B591C" w14:paraId="4DB6E45C" w14:textId="77777777" w:rsidTr="004B591C">
        <w:trPr>
          <w:trHeight w:val="587"/>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71C0320" w14:textId="71A8B58F" w:rsidR="004B591C" w:rsidRPr="004B591C" w:rsidRDefault="004B591C" w:rsidP="004B591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19</w:t>
            </w:r>
          </w:p>
        </w:tc>
        <w:tc>
          <w:tcPr>
            <w:tcW w:w="8189" w:type="dxa"/>
            <w:tcBorders>
              <w:top w:val="nil"/>
              <w:left w:val="nil"/>
              <w:bottom w:val="single" w:sz="4" w:space="0" w:color="auto"/>
              <w:right w:val="single" w:sz="4" w:space="0" w:color="auto"/>
            </w:tcBorders>
            <w:shd w:val="clear" w:color="auto" w:fill="auto"/>
            <w:vAlign w:val="bottom"/>
            <w:hideMark/>
          </w:tcPr>
          <w:p w14:paraId="18B0B25A" w14:textId="77777777" w:rsidR="004B591C" w:rsidRPr="004B591C" w:rsidRDefault="004B591C" w:rsidP="004B591C">
            <w:pPr>
              <w:spacing w:after="0" w:line="240" w:lineRule="auto"/>
              <w:jc w:val="both"/>
              <w:rPr>
                <w:rFonts w:ascii="Calibri" w:eastAsia="Times New Roman" w:hAnsi="Calibri" w:cs="Calibri"/>
                <w:color w:val="000000"/>
                <w:kern w:val="0"/>
                <w:sz w:val="24"/>
                <w:szCs w:val="24"/>
                <w:lang w:eastAsia="en-IN"/>
                <w14:ligatures w14:val="none"/>
              </w:rPr>
            </w:pPr>
            <w:r w:rsidRPr="004B591C">
              <w:rPr>
                <w:rFonts w:ascii="Calibri" w:eastAsia="Times New Roman" w:hAnsi="Calibri" w:cs="Calibri"/>
                <w:color w:val="000000"/>
                <w:kern w:val="0"/>
                <w:sz w:val="24"/>
                <w:szCs w:val="24"/>
                <w:lang w:eastAsia="en-IN"/>
                <w14:ligatures w14:val="none"/>
              </w:rPr>
              <w:t>Fair Lending Practice - Penal Charges in Loan Accounts: Extension of Timeline for Implementation of Instructions</w:t>
            </w:r>
          </w:p>
        </w:tc>
      </w:tr>
      <w:tr w:rsidR="004B591C" w:rsidRPr="004B591C" w14:paraId="58007A1C" w14:textId="77777777" w:rsidTr="004B591C">
        <w:trPr>
          <w:trHeight w:val="587"/>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C638A11" w14:textId="69D19366" w:rsidR="004B591C" w:rsidRPr="004B591C" w:rsidRDefault="004B591C" w:rsidP="004B591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20</w:t>
            </w:r>
          </w:p>
        </w:tc>
        <w:tc>
          <w:tcPr>
            <w:tcW w:w="8189" w:type="dxa"/>
            <w:tcBorders>
              <w:top w:val="nil"/>
              <w:left w:val="nil"/>
              <w:bottom w:val="single" w:sz="4" w:space="0" w:color="auto"/>
              <w:right w:val="single" w:sz="4" w:space="0" w:color="auto"/>
            </w:tcBorders>
            <w:shd w:val="clear" w:color="auto" w:fill="auto"/>
            <w:vAlign w:val="bottom"/>
            <w:hideMark/>
          </w:tcPr>
          <w:p w14:paraId="11B4968E" w14:textId="77777777" w:rsidR="004B591C" w:rsidRPr="004B591C" w:rsidRDefault="004B591C" w:rsidP="004B591C">
            <w:pPr>
              <w:spacing w:after="0" w:line="240" w:lineRule="auto"/>
              <w:jc w:val="both"/>
              <w:rPr>
                <w:rFonts w:ascii="Calibri" w:eastAsia="Times New Roman" w:hAnsi="Calibri" w:cs="Calibri"/>
                <w:color w:val="000000"/>
                <w:kern w:val="0"/>
                <w:sz w:val="24"/>
                <w:szCs w:val="24"/>
                <w:lang w:eastAsia="en-IN"/>
                <w14:ligatures w14:val="none"/>
              </w:rPr>
            </w:pPr>
            <w:r w:rsidRPr="004B591C">
              <w:rPr>
                <w:rFonts w:ascii="Calibri" w:eastAsia="Times New Roman" w:hAnsi="Calibri" w:cs="Calibri"/>
                <w:color w:val="000000"/>
                <w:kern w:val="0"/>
                <w:sz w:val="24"/>
                <w:szCs w:val="24"/>
                <w:lang w:eastAsia="en-IN"/>
                <w14:ligatures w14:val="none"/>
              </w:rPr>
              <w:t>Master Direction - Reserve Bank of India (Internal Ombudsman for Regulated Entities) Directions, 2023</w:t>
            </w:r>
          </w:p>
        </w:tc>
      </w:tr>
    </w:tbl>
    <w:p w14:paraId="02F025C9" w14:textId="77777777" w:rsidR="00125ED6" w:rsidRDefault="00125ED6" w:rsidP="00125ED6">
      <w:pPr>
        <w:rPr>
          <w:b/>
          <w:bCs/>
          <w:lang w:val="en-US"/>
        </w:rPr>
      </w:pPr>
    </w:p>
    <w:p w14:paraId="1E90A2F1" w14:textId="77777777" w:rsidR="00B57036" w:rsidRDefault="00B57036" w:rsidP="00125ED6">
      <w:pPr>
        <w:rPr>
          <w:b/>
          <w:bCs/>
          <w:lang w:val="en-US"/>
        </w:rPr>
      </w:pPr>
    </w:p>
    <w:p w14:paraId="61F8A631" w14:textId="77EED150" w:rsidR="00B57036" w:rsidRDefault="00B57036" w:rsidP="00125ED6">
      <w:pPr>
        <w:rPr>
          <w:b/>
          <w:bCs/>
          <w:lang w:val="en-US"/>
        </w:rPr>
      </w:pPr>
    </w:p>
    <w:p w14:paraId="1FE0CFBE" w14:textId="0E8E723C" w:rsidR="004B591C" w:rsidRDefault="004B591C" w:rsidP="00125ED6">
      <w:pPr>
        <w:rPr>
          <w:b/>
          <w:bCs/>
          <w:lang w:val="en-US"/>
        </w:rPr>
      </w:pPr>
    </w:p>
    <w:p w14:paraId="4E85CED4" w14:textId="5A7351A3" w:rsidR="00B57036" w:rsidRDefault="00B57036" w:rsidP="00125ED6">
      <w:pPr>
        <w:rPr>
          <w:b/>
          <w:bCs/>
          <w:lang w:val="en-US"/>
        </w:rPr>
      </w:pPr>
    </w:p>
    <w:p w14:paraId="150FC67D" w14:textId="7780578C" w:rsidR="004B591C" w:rsidRPr="006B47C2" w:rsidRDefault="006B47C2" w:rsidP="00125ED6">
      <w:pPr>
        <w:rPr>
          <w:b/>
          <w:bCs/>
          <w:lang w:val="en-US"/>
        </w:rPr>
      </w:pPr>
      <w:r w:rsidRPr="006B47C2">
        <w:rPr>
          <w:rFonts w:ascii="Calibri" w:eastAsia="Times New Roman" w:hAnsi="Calibri" w:cs="Calibri"/>
          <w:b/>
          <w:color w:val="000000"/>
          <w:kern w:val="0"/>
          <w:sz w:val="24"/>
          <w:szCs w:val="24"/>
          <w:lang w:eastAsia="en-IN"/>
          <w14:ligatures w14:val="none"/>
        </w:rPr>
        <w:lastRenderedPageBreak/>
        <w:t>Fair Lending Practice - Penal Charges in Loan Accounts</w:t>
      </w:r>
    </w:p>
    <w:p w14:paraId="58C128BE"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RBI/2023-24/53</w:t>
      </w:r>
      <w:r w:rsidRPr="006B47C2">
        <w:rPr>
          <w:rFonts w:ascii="Arial" w:eastAsia="Times New Roman" w:hAnsi="Arial" w:cs="Arial"/>
          <w:color w:val="000000"/>
          <w:kern w:val="0"/>
          <w:sz w:val="20"/>
          <w:szCs w:val="20"/>
          <w:lang w:eastAsia="en-IN"/>
          <w14:ligatures w14:val="none"/>
        </w:rPr>
        <w:br/>
        <w:t>DoR.MCS.REC.28/01.01.001/2023-24</w:t>
      </w:r>
    </w:p>
    <w:p w14:paraId="0544D805" w14:textId="77777777" w:rsidR="006B47C2" w:rsidRPr="006B47C2" w:rsidRDefault="006B47C2" w:rsidP="006B47C2">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August 18, 2023</w:t>
      </w:r>
    </w:p>
    <w:p w14:paraId="3D1FE6DF" w14:textId="77777777" w:rsidR="006B47C2" w:rsidRP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All Commercial Banks (including Small Finance Banks, Local Area Banks and Regional Rural Banks, excluding Payments Banks)</w:t>
      </w:r>
      <w:r w:rsidRPr="006B47C2">
        <w:rPr>
          <w:rFonts w:ascii="Arial" w:eastAsia="Times New Roman" w:hAnsi="Arial" w:cs="Arial"/>
          <w:color w:val="000000"/>
          <w:kern w:val="0"/>
          <w:sz w:val="20"/>
          <w:szCs w:val="20"/>
          <w:lang w:eastAsia="en-IN"/>
          <w14:ligatures w14:val="none"/>
        </w:rPr>
        <w:br/>
        <w:t>All Primary (Urban) Co-operative Banks</w:t>
      </w:r>
      <w:r w:rsidRPr="006B47C2">
        <w:rPr>
          <w:rFonts w:ascii="Arial" w:eastAsia="Times New Roman" w:hAnsi="Arial" w:cs="Arial"/>
          <w:color w:val="000000"/>
          <w:kern w:val="0"/>
          <w:sz w:val="20"/>
          <w:szCs w:val="20"/>
          <w:lang w:eastAsia="en-IN"/>
          <w14:ligatures w14:val="none"/>
        </w:rPr>
        <w:br/>
        <w:t>All NBFCs (including HFCs) and</w:t>
      </w:r>
      <w:r w:rsidRPr="006B47C2">
        <w:rPr>
          <w:rFonts w:ascii="Arial" w:eastAsia="Times New Roman" w:hAnsi="Arial" w:cs="Arial"/>
          <w:color w:val="000000"/>
          <w:kern w:val="0"/>
          <w:sz w:val="20"/>
          <w:szCs w:val="20"/>
          <w:lang w:eastAsia="en-IN"/>
          <w14:ligatures w14:val="none"/>
        </w:rPr>
        <w:br/>
        <w:t xml:space="preserve">All India Financial Institutions (EXIM Bank, NABARD, NHB, SIDBI and </w:t>
      </w:r>
      <w:proofErr w:type="spellStart"/>
      <w:r w:rsidRPr="006B47C2">
        <w:rPr>
          <w:rFonts w:ascii="Arial" w:eastAsia="Times New Roman" w:hAnsi="Arial" w:cs="Arial"/>
          <w:color w:val="000000"/>
          <w:kern w:val="0"/>
          <w:sz w:val="20"/>
          <w:szCs w:val="20"/>
          <w:lang w:eastAsia="en-IN"/>
          <w14:ligatures w14:val="none"/>
        </w:rPr>
        <w:t>NaBFID</w:t>
      </w:r>
      <w:proofErr w:type="spellEnd"/>
      <w:r w:rsidRPr="006B47C2">
        <w:rPr>
          <w:rFonts w:ascii="Arial" w:eastAsia="Times New Roman" w:hAnsi="Arial" w:cs="Arial"/>
          <w:color w:val="000000"/>
          <w:kern w:val="0"/>
          <w:sz w:val="20"/>
          <w:szCs w:val="20"/>
          <w:lang w:eastAsia="en-IN"/>
          <w14:ligatures w14:val="none"/>
        </w:rPr>
        <w:t>)</w:t>
      </w:r>
    </w:p>
    <w:p w14:paraId="0BE8D58D"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Madam / Dear Sir,</w:t>
      </w:r>
    </w:p>
    <w:p w14:paraId="7E554235" w14:textId="77777777" w:rsidR="006B47C2" w:rsidRPr="006B47C2" w:rsidRDefault="006B47C2" w:rsidP="006B47C2">
      <w:pPr>
        <w:spacing w:before="100" w:beforeAutospacing="1" w:after="100" w:afterAutospacing="1" w:line="240" w:lineRule="auto"/>
        <w:jc w:val="center"/>
        <w:rPr>
          <w:rFonts w:ascii="Arial" w:eastAsia="Times New Roman" w:hAnsi="Arial" w:cs="Arial"/>
          <w:b/>
          <w:bCs/>
          <w:color w:val="000000"/>
          <w:kern w:val="0"/>
          <w:sz w:val="20"/>
          <w:szCs w:val="20"/>
          <w:lang w:eastAsia="en-IN"/>
          <w14:ligatures w14:val="none"/>
        </w:rPr>
      </w:pPr>
      <w:r w:rsidRPr="006B47C2">
        <w:rPr>
          <w:rFonts w:ascii="Arial" w:eastAsia="Times New Roman" w:hAnsi="Arial" w:cs="Arial"/>
          <w:b/>
          <w:bCs/>
          <w:color w:val="000000"/>
          <w:kern w:val="0"/>
          <w:sz w:val="20"/>
          <w:szCs w:val="20"/>
          <w:lang w:eastAsia="en-IN"/>
          <w14:ligatures w14:val="none"/>
        </w:rPr>
        <w:t>Fair Lending Practice - Penal Charges in Loan Accounts</w:t>
      </w:r>
    </w:p>
    <w:p w14:paraId="27D9F01B"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Reserve Bank has issued various guidelines to the Regulated Entities (REs) to ensure reasonableness and transparency in disclosure of penal interest. Under the extant guidelines, lending institutions have the operational autonomy to formulate Board approved policy for levy of penal rates of interest. It has been observed that many REs use penal rates of interest, over and above the applicable interest rates, in case of defaults / non-compliance by the borrower with the terms on which credit facilities were sanctioned.</w:t>
      </w:r>
    </w:p>
    <w:p w14:paraId="6EDCF13B"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2. The intent of levying penal interest/charges is essentially to inculcate a sense of credit discipline and such charges are not meant to be used as a revenue enhancement tool over and above the contracted rate of interest. However, supervisory reviews have indicated divergent practices amongst the REs with regard to levy of penal interest/charges leading to customer grievances and disputes.</w:t>
      </w:r>
    </w:p>
    <w:p w14:paraId="2D1F51D5"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3. On a review of the practices followed by REs for charging penal interest/charges on loans, the following instructions are issued for adoption.</w:t>
      </w:r>
    </w:p>
    <w:p w14:paraId="25931359"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w:t>
      </w:r>
      <w:proofErr w:type="spellStart"/>
      <w:r w:rsidRPr="006B47C2">
        <w:rPr>
          <w:rFonts w:ascii="Arial" w:eastAsia="Times New Roman" w:hAnsi="Arial" w:cs="Arial"/>
          <w:color w:val="000000"/>
          <w:kern w:val="0"/>
          <w:sz w:val="20"/>
          <w:szCs w:val="20"/>
          <w:lang w:eastAsia="en-IN"/>
          <w14:ligatures w14:val="none"/>
        </w:rPr>
        <w:t>i</w:t>
      </w:r>
      <w:proofErr w:type="spellEnd"/>
      <w:r w:rsidRPr="006B47C2">
        <w:rPr>
          <w:rFonts w:ascii="Arial" w:eastAsia="Times New Roman" w:hAnsi="Arial" w:cs="Arial"/>
          <w:color w:val="000000"/>
          <w:kern w:val="0"/>
          <w:sz w:val="20"/>
          <w:szCs w:val="20"/>
          <w:lang w:eastAsia="en-IN"/>
          <w14:ligatures w14:val="none"/>
        </w:rPr>
        <w:t>) Penalty, if charged, for non-compliance of material terms and conditions of loan contract by the borrower shall be treated as ‘penal charges’ and shall not be levied in the form of ‘penal interest’ that is added to the rate of interest charged on the advances. There shall be no capitalisation of penal charges i.e., no further interest computed on such charges. However, this will not affect the normal procedures for compounding of interest in the loan account.</w:t>
      </w:r>
    </w:p>
    <w:p w14:paraId="165A154D"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(ii) The REs shall not introduce any additional component to the rate of interest and ensure compliance to these guidelines in both letter and spirit.</w:t>
      </w:r>
    </w:p>
    <w:p w14:paraId="18EFE7E4"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(iii) The REs shall formulate a Board approved policy on penal charges or similar charges on loans, by whatever name called.</w:t>
      </w:r>
    </w:p>
    <w:p w14:paraId="469FE327"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(iv) The quantum of penal charges shall be reasonable and commensurate with the non-compliance of material terms and conditions of loan contract without being discriminatory within a particular loan / product category.</w:t>
      </w:r>
    </w:p>
    <w:p w14:paraId="7EDA3A63"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(v) The penal charges in case of loans sanctioned to ‘individual borrowers, for purposes other than business’, shall not be higher than the penal charges applicable to non-individual borrowers for similar non-compliance of material terms and conditions.</w:t>
      </w:r>
    </w:p>
    <w:p w14:paraId="14FEE566"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(vi) The quantum and reason for penal charges shall be clearly disclosed by REs to the customers in the loan agreement and most important terms &amp; conditions / Key Fact Statement (KFS) as applicable, in addition to being displayed on REs website under Interest rates and Service Charges.</w:t>
      </w:r>
    </w:p>
    <w:p w14:paraId="11B3303B"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lastRenderedPageBreak/>
        <w:t>(vii) Whenever reminders for non-compliance of material terms and conditions of loan are sent to borrowers, the applicable penal charges shall be communicated. Further, any instance of levy of penal charges and the reason therefor shall also be communicated.</w:t>
      </w:r>
    </w:p>
    <w:p w14:paraId="224E076D"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(viii) These instructions shall come into effect from January 1, 2024. REs may carry out appropriate revisions in their policy framework and ensure implementation of the instructions in respect of all the fresh loans availed/ renewed from the effective date. In the case of existing loans, the switchover to new penal charges regime shall be ensured on next review or renewal date or six months from the effective date of this circular, whichever is earlier.</w:t>
      </w:r>
    </w:p>
    <w:p w14:paraId="267F98B9"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4. The above instructions are issued under sections 21, 35A and 56 of the Banking Regulation Act, 1949, sections 45JA, 45L and 45M of the Reserve Bank of India Act, 1934, and section 30A of the National Housing Bank Act, 1987 and shall be updated in the relevant Master Directions / Master Circulars of the applicable REs. The list of amendments to the Master Directions / Master Circulars has been provided in the </w:t>
      </w:r>
      <w:hyperlink r:id="rId5" w:anchor="AS" w:history="1">
        <w:r w:rsidRPr="006B47C2">
          <w:rPr>
            <w:rFonts w:ascii="Arial" w:eastAsia="Times New Roman" w:hAnsi="Arial" w:cs="Arial"/>
            <w:color w:val="0000FF"/>
            <w:kern w:val="0"/>
            <w:sz w:val="20"/>
            <w:szCs w:val="20"/>
            <w:u w:val="single"/>
            <w:lang w:eastAsia="en-IN"/>
            <w14:ligatures w14:val="none"/>
          </w:rPr>
          <w:t>Annex</w:t>
        </w:r>
      </w:hyperlink>
      <w:r w:rsidRPr="006B47C2">
        <w:rPr>
          <w:rFonts w:ascii="Arial" w:eastAsia="Times New Roman" w:hAnsi="Arial" w:cs="Arial"/>
          <w:color w:val="000000"/>
          <w:kern w:val="0"/>
          <w:sz w:val="20"/>
          <w:szCs w:val="20"/>
          <w:lang w:eastAsia="en-IN"/>
          <w14:ligatures w14:val="none"/>
        </w:rPr>
        <w:t>.</w:t>
      </w:r>
    </w:p>
    <w:p w14:paraId="0812A68F"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5. These instructions shall, however, not apply to Credit Cards, External Commercial Borrowings, Trade Credits and Structured Obligations which are covered under product specific directions.</w:t>
      </w:r>
    </w:p>
    <w:p w14:paraId="4E8C7C03"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Yours faithfully,</w:t>
      </w:r>
    </w:p>
    <w:p w14:paraId="7E7E648A" w14:textId="77777777" w:rsidR="006B47C2" w:rsidRP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 xml:space="preserve">(Santosh Kumar </w:t>
      </w:r>
      <w:proofErr w:type="spellStart"/>
      <w:r w:rsidRPr="006B47C2">
        <w:rPr>
          <w:rFonts w:ascii="Arial" w:eastAsia="Times New Roman" w:hAnsi="Arial" w:cs="Arial"/>
          <w:color w:val="000000"/>
          <w:kern w:val="0"/>
          <w:sz w:val="20"/>
          <w:szCs w:val="20"/>
          <w:lang w:eastAsia="en-IN"/>
          <w14:ligatures w14:val="none"/>
        </w:rPr>
        <w:t>Panigrahy</w:t>
      </w:r>
      <w:proofErr w:type="spellEnd"/>
      <w:r w:rsidRPr="006B47C2">
        <w:rPr>
          <w:rFonts w:ascii="Arial" w:eastAsia="Times New Roman" w:hAnsi="Arial" w:cs="Arial"/>
          <w:color w:val="000000"/>
          <w:kern w:val="0"/>
          <w:sz w:val="20"/>
          <w:szCs w:val="20"/>
          <w:lang w:eastAsia="en-IN"/>
          <w14:ligatures w14:val="none"/>
        </w:rPr>
        <w:t>)</w:t>
      </w:r>
      <w:r w:rsidRPr="006B47C2">
        <w:rPr>
          <w:rFonts w:ascii="Arial" w:eastAsia="Times New Roman" w:hAnsi="Arial" w:cs="Arial"/>
          <w:color w:val="000000"/>
          <w:kern w:val="0"/>
          <w:sz w:val="20"/>
          <w:szCs w:val="20"/>
          <w:lang w:eastAsia="en-IN"/>
          <w14:ligatures w14:val="none"/>
        </w:rPr>
        <w:br/>
        <w:t>Chief General Manager</w:t>
      </w:r>
    </w:p>
    <w:p w14:paraId="51E40016"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roofErr w:type="spellStart"/>
      <w:r w:rsidRPr="006B47C2">
        <w:rPr>
          <w:rFonts w:ascii="Arial" w:eastAsia="Times New Roman" w:hAnsi="Arial" w:cs="Arial"/>
          <w:color w:val="000000"/>
          <w:kern w:val="0"/>
          <w:sz w:val="20"/>
          <w:szCs w:val="20"/>
          <w:lang w:eastAsia="en-IN"/>
          <w14:ligatures w14:val="none"/>
        </w:rPr>
        <w:t>Encl</w:t>
      </w:r>
      <w:proofErr w:type="spellEnd"/>
      <w:r w:rsidRPr="006B47C2">
        <w:rPr>
          <w:rFonts w:ascii="Arial" w:eastAsia="Times New Roman" w:hAnsi="Arial" w:cs="Arial"/>
          <w:color w:val="000000"/>
          <w:kern w:val="0"/>
          <w:sz w:val="20"/>
          <w:szCs w:val="20"/>
          <w:lang w:eastAsia="en-IN"/>
          <w14:ligatures w14:val="none"/>
        </w:rPr>
        <w:t>: As above</w:t>
      </w:r>
    </w:p>
    <w:p w14:paraId="1F78A375" w14:textId="77777777" w:rsidR="006B47C2" w:rsidRDefault="006B47C2" w:rsidP="00125ED6">
      <w:pPr>
        <w:rPr>
          <w:b/>
          <w:bCs/>
          <w:lang w:val="en-US"/>
        </w:rPr>
      </w:pPr>
    </w:p>
    <w:p w14:paraId="5AC9945D" w14:textId="77777777" w:rsidR="000729E7" w:rsidRDefault="000729E7" w:rsidP="000729E7">
      <w:pPr>
        <w:pStyle w:val="NormalWeb"/>
        <w:jc w:val="both"/>
        <w:rPr>
          <w:rFonts w:ascii="Arial" w:hAnsi="Arial" w:cs="Arial"/>
          <w:color w:val="000000"/>
          <w:sz w:val="20"/>
          <w:szCs w:val="20"/>
        </w:rPr>
      </w:pPr>
      <w:r w:rsidRPr="00083FFF">
        <w:rPr>
          <w:rFonts w:ascii="Arial" w:hAnsi="Arial" w:cs="Arial"/>
          <w:color w:val="000000"/>
          <w:sz w:val="20"/>
          <w:szCs w:val="20"/>
        </w:rPr>
        <w:t>For more details, Kindly refer:</w:t>
      </w:r>
    </w:p>
    <w:p w14:paraId="164526AC" w14:textId="024D9F50" w:rsidR="006B47C2" w:rsidRDefault="006B47C2" w:rsidP="00125ED6">
      <w:pPr>
        <w:rPr>
          <w:b/>
          <w:bCs/>
          <w:lang w:val="en-US"/>
        </w:rPr>
      </w:pPr>
      <w:hyperlink r:id="rId6" w:history="1">
        <w:r w:rsidRPr="00FC240A">
          <w:rPr>
            <w:rStyle w:val="Hyperlink"/>
            <w:b/>
            <w:bCs/>
            <w:lang w:val="en-US"/>
          </w:rPr>
          <w:t>https://rbi.org.in/Scripts/NotificationUser.aspx?Id=12527&amp;Mode=0</w:t>
        </w:r>
      </w:hyperlink>
    </w:p>
    <w:p w14:paraId="4A4F9466" w14:textId="55215441" w:rsidR="006B47C2" w:rsidRDefault="006B47C2" w:rsidP="00125ED6">
      <w:pPr>
        <w:rPr>
          <w:b/>
          <w:bCs/>
          <w:lang w:val="en-US"/>
        </w:rPr>
      </w:pPr>
    </w:p>
    <w:p w14:paraId="7AAA372C" w14:textId="6F1392F6" w:rsidR="006B47C2" w:rsidRDefault="006B47C2" w:rsidP="00125ED6">
      <w:pPr>
        <w:rPr>
          <w:b/>
          <w:bCs/>
          <w:lang w:val="en-US"/>
        </w:rPr>
      </w:pPr>
    </w:p>
    <w:p w14:paraId="5CF9CA7F" w14:textId="75DA4FF6" w:rsidR="006B47C2" w:rsidRDefault="006B47C2" w:rsidP="00125ED6">
      <w:pPr>
        <w:rPr>
          <w:b/>
          <w:bCs/>
          <w:lang w:val="en-US"/>
        </w:rPr>
      </w:pPr>
    </w:p>
    <w:p w14:paraId="533A8ACD" w14:textId="07EBACD3" w:rsidR="006B47C2" w:rsidRDefault="006B47C2" w:rsidP="00125ED6">
      <w:pPr>
        <w:rPr>
          <w:b/>
          <w:bCs/>
          <w:lang w:val="en-US"/>
        </w:rPr>
      </w:pPr>
    </w:p>
    <w:p w14:paraId="7751BFAA" w14:textId="1632D29F" w:rsidR="006B47C2" w:rsidRDefault="006B47C2" w:rsidP="00125ED6">
      <w:pPr>
        <w:rPr>
          <w:b/>
          <w:bCs/>
          <w:lang w:val="en-US"/>
        </w:rPr>
      </w:pPr>
    </w:p>
    <w:p w14:paraId="36C6ECF6" w14:textId="087D72FC" w:rsidR="006B47C2" w:rsidRDefault="006B47C2" w:rsidP="00125ED6">
      <w:pPr>
        <w:rPr>
          <w:b/>
          <w:bCs/>
          <w:lang w:val="en-US"/>
        </w:rPr>
      </w:pPr>
    </w:p>
    <w:p w14:paraId="4FB0EA50" w14:textId="5119E4D0" w:rsidR="006B47C2" w:rsidRDefault="006B47C2" w:rsidP="00125ED6">
      <w:pPr>
        <w:rPr>
          <w:b/>
          <w:bCs/>
          <w:lang w:val="en-US"/>
        </w:rPr>
      </w:pPr>
    </w:p>
    <w:p w14:paraId="696BF306" w14:textId="6D5729DC" w:rsidR="006B47C2" w:rsidRDefault="006B47C2" w:rsidP="00125ED6">
      <w:pPr>
        <w:rPr>
          <w:b/>
          <w:bCs/>
          <w:lang w:val="en-US"/>
        </w:rPr>
      </w:pPr>
    </w:p>
    <w:p w14:paraId="43EDC05A" w14:textId="12F91809" w:rsidR="006B47C2" w:rsidRDefault="006B47C2" w:rsidP="00125ED6">
      <w:pPr>
        <w:rPr>
          <w:b/>
          <w:bCs/>
          <w:lang w:val="en-US"/>
        </w:rPr>
      </w:pPr>
    </w:p>
    <w:p w14:paraId="791BD4DA" w14:textId="3BC1A941" w:rsidR="006B47C2" w:rsidRDefault="006B47C2" w:rsidP="00125ED6">
      <w:pPr>
        <w:rPr>
          <w:b/>
          <w:bCs/>
          <w:lang w:val="en-US"/>
        </w:rPr>
      </w:pPr>
    </w:p>
    <w:p w14:paraId="0F86F869" w14:textId="47F486CC" w:rsidR="006B47C2" w:rsidRDefault="006B47C2" w:rsidP="00125ED6">
      <w:pPr>
        <w:rPr>
          <w:b/>
          <w:bCs/>
          <w:lang w:val="en-US"/>
        </w:rPr>
      </w:pPr>
    </w:p>
    <w:p w14:paraId="0AE411DC" w14:textId="6A8DDEEA" w:rsidR="006B47C2" w:rsidRDefault="006B47C2" w:rsidP="00125ED6">
      <w:pPr>
        <w:rPr>
          <w:b/>
          <w:bCs/>
          <w:lang w:val="en-US"/>
        </w:rPr>
      </w:pPr>
    </w:p>
    <w:p w14:paraId="5FADA779" w14:textId="7F09A404" w:rsidR="006B47C2" w:rsidRDefault="006B47C2" w:rsidP="00125ED6">
      <w:pPr>
        <w:rPr>
          <w:b/>
          <w:bCs/>
          <w:lang w:val="en-US"/>
        </w:rPr>
      </w:pPr>
    </w:p>
    <w:p w14:paraId="571E9377" w14:textId="76E56646" w:rsidR="006B47C2" w:rsidRPr="006B47C2" w:rsidRDefault="006B47C2" w:rsidP="006B47C2">
      <w:pPr>
        <w:jc w:val="both"/>
        <w:rPr>
          <w:b/>
          <w:bCs/>
          <w:lang w:val="en-US"/>
        </w:rPr>
      </w:pPr>
      <w:r w:rsidRPr="006B47C2">
        <w:rPr>
          <w:rFonts w:ascii="Calibri" w:eastAsia="Times New Roman" w:hAnsi="Calibri" w:cs="Calibri"/>
          <w:b/>
          <w:color w:val="000000"/>
          <w:kern w:val="0"/>
          <w:sz w:val="24"/>
          <w:szCs w:val="24"/>
          <w:lang w:eastAsia="en-IN"/>
          <w14:ligatures w14:val="none"/>
        </w:rPr>
        <w:lastRenderedPageBreak/>
        <w:t>Reset of Floating Interest Rate on Equated Monthly Instalments (EMI) based Personal Loans</w:t>
      </w:r>
    </w:p>
    <w:p w14:paraId="04BFAA28"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RBI/2023-24/55</w:t>
      </w:r>
      <w:r w:rsidRPr="006B47C2">
        <w:rPr>
          <w:rFonts w:ascii="Arial" w:eastAsia="Times New Roman" w:hAnsi="Arial" w:cs="Arial"/>
          <w:color w:val="000000"/>
          <w:kern w:val="0"/>
          <w:sz w:val="20"/>
          <w:szCs w:val="20"/>
          <w:lang w:eastAsia="en-IN"/>
          <w14:ligatures w14:val="none"/>
        </w:rPr>
        <w:br/>
        <w:t>DOR.MCS.REC.32/01.01.003/2023-24</w:t>
      </w:r>
    </w:p>
    <w:p w14:paraId="47EF68E8" w14:textId="77777777" w:rsidR="006B47C2" w:rsidRPr="006B47C2" w:rsidRDefault="006B47C2" w:rsidP="006B47C2">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August 18, 2023</w:t>
      </w:r>
    </w:p>
    <w:p w14:paraId="4698798E" w14:textId="77777777" w:rsidR="006B47C2" w:rsidRP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All Scheduled Commercial Banks</w:t>
      </w:r>
      <w:r w:rsidRPr="006B47C2">
        <w:rPr>
          <w:rFonts w:ascii="Arial" w:eastAsia="Times New Roman" w:hAnsi="Arial" w:cs="Arial"/>
          <w:color w:val="000000"/>
          <w:kern w:val="0"/>
          <w:sz w:val="20"/>
          <w:szCs w:val="20"/>
          <w:lang w:eastAsia="en-IN"/>
          <w14:ligatures w14:val="none"/>
        </w:rPr>
        <w:br/>
        <w:t>Regional Rural Banks</w:t>
      </w:r>
      <w:r w:rsidRPr="006B47C2">
        <w:rPr>
          <w:rFonts w:ascii="Arial" w:eastAsia="Times New Roman" w:hAnsi="Arial" w:cs="Arial"/>
          <w:color w:val="000000"/>
          <w:kern w:val="0"/>
          <w:sz w:val="20"/>
          <w:szCs w:val="20"/>
          <w:lang w:eastAsia="en-IN"/>
          <w14:ligatures w14:val="none"/>
        </w:rPr>
        <w:br/>
        <w:t>Primary (Urban) Co-operative Banks</w:t>
      </w:r>
      <w:r w:rsidRPr="006B47C2">
        <w:rPr>
          <w:rFonts w:ascii="Arial" w:eastAsia="Times New Roman" w:hAnsi="Arial" w:cs="Arial"/>
          <w:color w:val="000000"/>
          <w:kern w:val="0"/>
          <w:sz w:val="20"/>
          <w:szCs w:val="20"/>
          <w:lang w:eastAsia="en-IN"/>
          <w14:ligatures w14:val="none"/>
        </w:rPr>
        <w:br/>
        <w:t>State Co-operative Banks and District Central Co-operative Banks</w:t>
      </w:r>
      <w:r w:rsidRPr="006B47C2">
        <w:rPr>
          <w:rFonts w:ascii="Arial" w:eastAsia="Times New Roman" w:hAnsi="Arial" w:cs="Arial"/>
          <w:color w:val="000000"/>
          <w:kern w:val="0"/>
          <w:sz w:val="20"/>
          <w:szCs w:val="20"/>
          <w:lang w:eastAsia="en-IN"/>
          <w14:ligatures w14:val="none"/>
        </w:rPr>
        <w:br/>
        <w:t>Non-Banking Financial Companies (including Housing Finance Companies)</w:t>
      </w:r>
    </w:p>
    <w:p w14:paraId="627C1766"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Madam / Dear Sir,</w:t>
      </w:r>
    </w:p>
    <w:p w14:paraId="4D9A8396" w14:textId="77777777" w:rsidR="006B47C2" w:rsidRPr="006B47C2" w:rsidRDefault="006B47C2" w:rsidP="006B47C2">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6B47C2">
        <w:rPr>
          <w:rFonts w:ascii="Arial" w:eastAsia="Times New Roman" w:hAnsi="Arial" w:cs="Arial"/>
          <w:b/>
          <w:bCs/>
          <w:color w:val="000000"/>
          <w:kern w:val="0"/>
          <w:sz w:val="20"/>
          <w:szCs w:val="20"/>
          <w:lang w:eastAsia="en-IN"/>
          <w14:ligatures w14:val="none"/>
        </w:rPr>
        <w:t>Reset of Floating Interest Rate on Equated Monthly Instalments (EMI) based Personal Loans</w:t>
      </w:r>
      <w:hyperlink r:id="rId7" w:anchor="F1" w:history="1">
        <w:r w:rsidRPr="006B47C2">
          <w:rPr>
            <w:rFonts w:ascii="Arial" w:eastAsia="Times New Roman" w:hAnsi="Arial" w:cs="Arial"/>
            <w:b/>
            <w:bCs/>
            <w:color w:val="0000FF"/>
            <w:kern w:val="0"/>
            <w:sz w:val="15"/>
            <w:szCs w:val="15"/>
            <w:u w:val="single"/>
            <w:vertAlign w:val="superscript"/>
            <w:lang w:eastAsia="en-IN"/>
            <w14:ligatures w14:val="none"/>
          </w:rPr>
          <w:t>1</w:t>
        </w:r>
      </w:hyperlink>
    </w:p>
    <w:p w14:paraId="3BB70209"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Please refer to our </w:t>
      </w:r>
      <w:hyperlink r:id="rId8" w:tgtFrame="_blank" w:history="1">
        <w:r w:rsidRPr="006B47C2">
          <w:rPr>
            <w:rFonts w:ascii="Arial" w:eastAsia="Times New Roman" w:hAnsi="Arial" w:cs="Arial"/>
            <w:color w:val="0000FF"/>
            <w:kern w:val="0"/>
            <w:sz w:val="20"/>
            <w:szCs w:val="20"/>
            <w:u w:val="single"/>
            <w:lang w:eastAsia="en-IN"/>
            <w14:ligatures w14:val="none"/>
          </w:rPr>
          <w:t>circular no. DBR.No.Dir.BC.10/13.03.00/2015-16 dated July 01, 2015</w:t>
        </w:r>
      </w:hyperlink>
      <w:r w:rsidRPr="006B47C2">
        <w:rPr>
          <w:rFonts w:ascii="Arial" w:eastAsia="Times New Roman" w:hAnsi="Arial" w:cs="Arial"/>
          <w:color w:val="000000"/>
          <w:kern w:val="0"/>
          <w:sz w:val="20"/>
          <w:szCs w:val="20"/>
          <w:lang w:eastAsia="en-IN"/>
          <w14:ligatures w14:val="none"/>
        </w:rPr>
        <w:t>, </w:t>
      </w:r>
      <w:hyperlink r:id="rId9" w:tgtFrame="_blank" w:history="1">
        <w:r w:rsidRPr="006B47C2">
          <w:rPr>
            <w:rFonts w:ascii="Arial" w:eastAsia="Times New Roman" w:hAnsi="Arial" w:cs="Arial"/>
            <w:color w:val="0000FF"/>
            <w:kern w:val="0"/>
            <w:sz w:val="20"/>
            <w:szCs w:val="20"/>
            <w:u w:val="single"/>
            <w:lang w:eastAsia="en-IN"/>
            <w14:ligatures w14:val="none"/>
          </w:rPr>
          <w:t>Master Directions no. DNBR.PD.007/03.10.119/2016-17 dated September 01, 2016</w:t>
        </w:r>
      </w:hyperlink>
      <w:r w:rsidRPr="006B47C2">
        <w:rPr>
          <w:rFonts w:ascii="Arial" w:eastAsia="Times New Roman" w:hAnsi="Arial" w:cs="Arial"/>
          <w:color w:val="000000"/>
          <w:kern w:val="0"/>
          <w:sz w:val="20"/>
          <w:szCs w:val="20"/>
          <w:lang w:eastAsia="en-IN"/>
          <w14:ligatures w14:val="none"/>
        </w:rPr>
        <w:t>, </w:t>
      </w:r>
      <w:hyperlink r:id="rId10" w:tgtFrame="_blank" w:history="1">
        <w:r w:rsidRPr="006B47C2">
          <w:rPr>
            <w:rFonts w:ascii="Arial" w:eastAsia="Times New Roman" w:hAnsi="Arial" w:cs="Arial"/>
            <w:color w:val="0000FF"/>
            <w:kern w:val="0"/>
            <w:sz w:val="20"/>
            <w:szCs w:val="20"/>
            <w:u w:val="single"/>
            <w:lang w:eastAsia="en-IN"/>
            <w14:ligatures w14:val="none"/>
          </w:rPr>
          <w:t>DNBR.PD.008/03.10.119/2016-17 dated September 01, 2016</w:t>
        </w:r>
      </w:hyperlink>
      <w:r w:rsidRPr="006B47C2">
        <w:rPr>
          <w:rFonts w:ascii="Arial" w:eastAsia="Times New Roman" w:hAnsi="Arial" w:cs="Arial"/>
          <w:color w:val="000000"/>
          <w:kern w:val="0"/>
          <w:sz w:val="20"/>
          <w:szCs w:val="20"/>
          <w:lang w:eastAsia="en-IN"/>
          <w14:ligatures w14:val="none"/>
        </w:rPr>
        <w:t> and </w:t>
      </w:r>
      <w:hyperlink r:id="rId11" w:tgtFrame="_blank" w:history="1">
        <w:r w:rsidRPr="006B47C2">
          <w:rPr>
            <w:rFonts w:ascii="Arial" w:eastAsia="Times New Roman" w:hAnsi="Arial" w:cs="Arial"/>
            <w:color w:val="0000FF"/>
            <w:kern w:val="0"/>
            <w:sz w:val="20"/>
            <w:szCs w:val="20"/>
            <w:u w:val="single"/>
            <w:lang w:eastAsia="en-IN"/>
            <w14:ligatures w14:val="none"/>
          </w:rPr>
          <w:t>DOR.FIN.HFC.CC.No.120/03.10.136/2020-21 dated February 17, 2021</w:t>
        </w:r>
      </w:hyperlink>
      <w:r w:rsidRPr="006B47C2">
        <w:rPr>
          <w:rFonts w:ascii="Arial" w:eastAsia="Times New Roman" w:hAnsi="Arial" w:cs="Arial"/>
          <w:color w:val="000000"/>
          <w:kern w:val="0"/>
          <w:sz w:val="20"/>
          <w:szCs w:val="20"/>
          <w:lang w:eastAsia="en-IN"/>
          <w14:ligatures w14:val="none"/>
        </w:rPr>
        <w:t> vide which the guidelines pertaining to Fair Practices Code for lenders have been issued to SCBs, NBFCs and HFCs, respectively. In terms of extant instructions of Reserve Bank of India, regulated entities (REs) have the freedom to offer all categories of advances either on fixed or on floating interest rates basis.</w:t>
      </w:r>
    </w:p>
    <w:p w14:paraId="76D5E65D"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2. At the time of sanction of EMI based floating rate personal loans, REs are required to take into account the repayment capacity of borrowers to ensure that adequate headroom/ margin is available for elongation of tenor and/ or increase in EMI, in the scenario of possible increase in the external benchmark rate during the tenor of the loan. However, in respect of EMI based floating rate personal loans, in the wake of rising interest rates, several consumer grievances related to elongation of loan tenor and/or increase in EMI amount, without proper communication with and/or consent of the borrowers have been received. In order to address these concerns, the REs are advised to put in place an appropriate policy framework meeting the following requirements for implementation and compliance:</w:t>
      </w:r>
    </w:p>
    <w:p w14:paraId="06F3687D" w14:textId="77777777" w:rsidR="006B47C2" w:rsidRPr="006B47C2" w:rsidRDefault="006B47C2" w:rsidP="006B47C2">
      <w:pPr>
        <w:numPr>
          <w:ilvl w:val="0"/>
          <w:numId w:val="3"/>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At the time of sanction, REs shall clearly communicate to the borrowers about the possible impact of change in benchmark interest rate on the loan leading to changes in EMI and/or tenor or both. Subsequently, any increase in the EMI/ tenor or both on account of the above shall be communicated to the borrower immediately through appropriate channels.</w:t>
      </w:r>
    </w:p>
    <w:p w14:paraId="42FC29B3" w14:textId="77777777" w:rsidR="006B47C2" w:rsidRPr="006B47C2" w:rsidRDefault="006B47C2" w:rsidP="006B47C2">
      <w:pPr>
        <w:numPr>
          <w:ilvl w:val="0"/>
          <w:numId w:val="3"/>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At the time of reset of interest rates, REs shall provide the option to the borrowers to switch over to a fixed rate as per their Board approved policy. The policy, inter alia, may also specify the number of times a borrower will be allowed to switch during the tenor of the loan.</w:t>
      </w:r>
    </w:p>
    <w:p w14:paraId="5ED88AE5" w14:textId="77777777" w:rsidR="006B47C2" w:rsidRPr="006B47C2" w:rsidRDefault="006B47C2" w:rsidP="006B47C2">
      <w:pPr>
        <w:numPr>
          <w:ilvl w:val="0"/>
          <w:numId w:val="3"/>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The borrowers shall also be given the choice to opt for (</w:t>
      </w:r>
      <w:proofErr w:type="spellStart"/>
      <w:r w:rsidRPr="006B47C2">
        <w:rPr>
          <w:rFonts w:ascii="Arial" w:eastAsia="Times New Roman" w:hAnsi="Arial" w:cs="Arial"/>
          <w:color w:val="000000"/>
          <w:kern w:val="0"/>
          <w:sz w:val="20"/>
          <w:szCs w:val="20"/>
          <w:lang w:eastAsia="en-IN"/>
          <w14:ligatures w14:val="none"/>
        </w:rPr>
        <w:t>i</w:t>
      </w:r>
      <w:proofErr w:type="spellEnd"/>
      <w:r w:rsidRPr="006B47C2">
        <w:rPr>
          <w:rFonts w:ascii="Arial" w:eastAsia="Times New Roman" w:hAnsi="Arial" w:cs="Arial"/>
          <w:color w:val="000000"/>
          <w:kern w:val="0"/>
          <w:sz w:val="20"/>
          <w:szCs w:val="20"/>
          <w:lang w:eastAsia="en-IN"/>
          <w14:ligatures w14:val="none"/>
        </w:rPr>
        <w:t>) enhancement in EMI or elongation of tenor or for a combination of both options; and, (ii) to prepay, either in part or in full, at any point during the tenor of the loan. Levy of foreclosure charges/ pre-payment penalty shall be subject to extant instructions.</w:t>
      </w:r>
    </w:p>
    <w:p w14:paraId="34556F59" w14:textId="77777777" w:rsidR="006B47C2" w:rsidRPr="006B47C2" w:rsidRDefault="006B47C2" w:rsidP="006B47C2">
      <w:pPr>
        <w:numPr>
          <w:ilvl w:val="0"/>
          <w:numId w:val="3"/>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All applicable charges for switching of loans from floating to fixed rate and any other service charges/ administrative costs incidental to the exercise of the above options shall be transparently disclosed in the sanction letter and also at the time of revision of such charges/ costs by the REs from time to time.</w:t>
      </w:r>
    </w:p>
    <w:p w14:paraId="4C9D8259" w14:textId="77777777" w:rsidR="006B47C2" w:rsidRPr="006B47C2" w:rsidRDefault="006B47C2" w:rsidP="006B47C2">
      <w:pPr>
        <w:numPr>
          <w:ilvl w:val="0"/>
          <w:numId w:val="3"/>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REs shall ensure that the elongation of tenor in case of floating rate loan does not result in negative amortisation.</w:t>
      </w:r>
    </w:p>
    <w:p w14:paraId="519E6214" w14:textId="77777777" w:rsidR="006B47C2" w:rsidRPr="006B47C2" w:rsidRDefault="006B47C2" w:rsidP="006B47C2">
      <w:pPr>
        <w:numPr>
          <w:ilvl w:val="0"/>
          <w:numId w:val="3"/>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REs shall share / make accessible to the borrowers, through appropriate channels, a statement at the end of each quarter which shall at the minimum, enumerate the principal and interest recovered till date, EMI amount, number of EMIs left and annualized rate of interest / Annual Percentage Rate (APR) for the entire tenor of the loan. The REs shall ensure that the statements are simple and easily understood by the borrower.</w:t>
      </w:r>
    </w:p>
    <w:p w14:paraId="442579A0"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 xml:space="preserve">3. Apart from the equated monthly instalment loans, these instructions would also apply, mutatis mutandis, to all equated instalment based loans of different periodicities. In case of loans linked to an </w:t>
      </w:r>
      <w:r w:rsidRPr="006B47C2">
        <w:rPr>
          <w:rFonts w:ascii="Arial" w:eastAsia="Times New Roman" w:hAnsi="Arial" w:cs="Arial"/>
          <w:color w:val="000000"/>
          <w:kern w:val="0"/>
          <w:sz w:val="20"/>
          <w:szCs w:val="20"/>
          <w:lang w:eastAsia="en-IN"/>
          <w14:ligatures w14:val="none"/>
        </w:rPr>
        <w:lastRenderedPageBreak/>
        <w:t>external benchmark under the External Benchmark Lending Rate (EBLR) regime, the banks should follow extant instructions and also put in place adequate information systems to monitor transmission of changes in the benchmark rate to the lending rate.</w:t>
      </w:r>
    </w:p>
    <w:p w14:paraId="6CB7B93A"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4. REs shall ensure that the above instructions are extended to the existing as well as new loans suitably by December 31, 2023. All existing borrowers shall be sent a communication, through appropriate channels, intimating the options available to them.</w:t>
      </w:r>
    </w:p>
    <w:p w14:paraId="5F49D88F"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5. The above instructions are issued under sections 21, 35A and 56 of the Banking Regulation Act, 1949, sections 45JA, 45L and 45M of the Reserve Bank of India Act, 1934, and sections 30A and 32 of the National Housing Bank Act, 1987.</w:t>
      </w:r>
    </w:p>
    <w:p w14:paraId="2F05D4C5"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Yours faithfully</w:t>
      </w:r>
    </w:p>
    <w:p w14:paraId="0DC055D9" w14:textId="26AA15DD"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 xml:space="preserve">Santosh Kumar </w:t>
      </w:r>
      <w:proofErr w:type="spellStart"/>
      <w:r w:rsidRPr="006B47C2">
        <w:rPr>
          <w:rFonts w:ascii="Arial" w:eastAsia="Times New Roman" w:hAnsi="Arial" w:cs="Arial"/>
          <w:color w:val="000000"/>
          <w:kern w:val="0"/>
          <w:sz w:val="20"/>
          <w:szCs w:val="20"/>
          <w:lang w:eastAsia="en-IN"/>
          <w14:ligatures w14:val="none"/>
        </w:rPr>
        <w:t>Panigrahy</w:t>
      </w:r>
      <w:proofErr w:type="spellEnd"/>
      <w:r w:rsidRPr="006B47C2">
        <w:rPr>
          <w:rFonts w:ascii="Arial" w:eastAsia="Times New Roman" w:hAnsi="Arial" w:cs="Arial"/>
          <w:color w:val="000000"/>
          <w:kern w:val="0"/>
          <w:sz w:val="20"/>
          <w:szCs w:val="20"/>
          <w:lang w:eastAsia="en-IN"/>
          <w14:ligatures w14:val="none"/>
        </w:rPr>
        <w:br/>
        <w:t>(Chief General Manager)</w:t>
      </w:r>
    </w:p>
    <w:p w14:paraId="66158351" w14:textId="70766B6A" w:rsidR="006B47C2" w:rsidRDefault="000729E7"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729E7">
        <w:rPr>
          <w:rFonts w:ascii="Arial" w:eastAsia="Times New Roman" w:hAnsi="Arial" w:cs="Arial"/>
          <w:color w:val="000000"/>
          <w:kern w:val="0"/>
          <w:sz w:val="20"/>
          <w:szCs w:val="20"/>
          <w:lang w:eastAsia="en-IN"/>
          <w14:ligatures w14:val="none"/>
        </w:rPr>
        <w:t>For more details, Kindly refer:</w:t>
      </w:r>
    </w:p>
    <w:p w14:paraId="73AC08D0" w14:textId="7FB2CE8B"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hyperlink r:id="rId12" w:history="1">
        <w:r w:rsidRPr="00FC240A">
          <w:rPr>
            <w:rStyle w:val="Hyperlink"/>
            <w:rFonts w:ascii="Arial" w:eastAsia="Times New Roman" w:hAnsi="Arial" w:cs="Arial"/>
            <w:kern w:val="0"/>
            <w:sz w:val="20"/>
            <w:szCs w:val="20"/>
            <w:lang w:eastAsia="en-IN"/>
            <w14:ligatures w14:val="none"/>
          </w:rPr>
          <w:t>https://rbi.org.in/Scripts/NotificationUser.aspx?Id=12529&amp;Mode=0</w:t>
        </w:r>
      </w:hyperlink>
    </w:p>
    <w:p w14:paraId="3D1605F1" w14:textId="09AAA6A8"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72C82DC1" w14:textId="04904432"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2D94E80A" w14:textId="4496921D"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5F702B24" w14:textId="6D33DE4A"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79E3B165" w14:textId="2F195AEA"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7AC19A25" w14:textId="70438728"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69A50456" w14:textId="7AA44C5A"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0C12153B" w14:textId="2CC527B7"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22916290" w14:textId="3E7EE1F0"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24AE93CC" w14:textId="5868CA41"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472414F3" w14:textId="4E449959"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38BBDAD3" w14:textId="19C6B549"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772562D2" w14:textId="704D000E"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55081D55" w14:textId="335A36A6"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26EF3FF2" w14:textId="4374DEE3"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7597783D" w14:textId="4EECAAD4"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4638525D" w14:textId="15565339"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2BC36483" w14:textId="17A479A9" w:rsidR="006B47C2" w:rsidRDefault="006B47C2" w:rsidP="006B47C2">
      <w:pPr>
        <w:spacing w:before="100" w:beforeAutospacing="1" w:after="100" w:afterAutospacing="1" w:line="240" w:lineRule="auto"/>
        <w:rPr>
          <w:rFonts w:eastAsia="Times New Roman" w:cstheme="minorHAnsi"/>
          <w:b/>
          <w:color w:val="000000"/>
          <w:kern w:val="0"/>
          <w:sz w:val="24"/>
          <w:szCs w:val="24"/>
          <w:lang w:eastAsia="en-IN"/>
          <w14:ligatures w14:val="none"/>
        </w:rPr>
      </w:pPr>
      <w:r w:rsidRPr="006B47C2">
        <w:rPr>
          <w:rFonts w:eastAsia="Times New Roman" w:cstheme="minorHAnsi"/>
          <w:b/>
          <w:color w:val="000000"/>
          <w:kern w:val="0"/>
          <w:sz w:val="24"/>
          <w:szCs w:val="24"/>
          <w:lang w:eastAsia="en-IN"/>
          <w14:ligatures w14:val="none"/>
        </w:rPr>
        <w:lastRenderedPageBreak/>
        <w:t>Enhancing transaction limits for Small Value Digital Payments in Offline Mode</w:t>
      </w:r>
    </w:p>
    <w:p w14:paraId="304876A0"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RBI/2023-24/57</w:t>
      </w:r>
      <w:r w:rsidRPr="006B47C2">
        <w:rPr>
          <w:rFonts w:ascii="Arial" w:eastAsia="Times New Roman" w:hAnsi="Arial" w:cs="Arial"/>
          <w:color w:val="000000"/>
          <w:kern w:val="0"/>
          <w:sz w:val="20"/>
          <w:szCs w:val="20"/>
          <w:lang w:eastAsia="en-IN"/>
          <w14:ligatures w14:val="none"/>
        </w:rPr>
        <w:br/>
        <w:t>CO.DPSS.POLC.No.S526/02-14-003/2023-24</w:t>
      </w:r>
    </w:p>
    <w:p w14:paraId="66FB9EDB" w14:textId="77777777" w:rsidR="006B47C2" w:rsidRPr="006B47C2" w:rsidRDefault="006B47C2" w:rsidP="006B47C2">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August 24, 2023</w:t>
      </w:r>
    </w:p>
    <w:p w14:paraId="5E0A2361" w14:textId="77777777" w:rsidR="006B47C2" w:rsidRP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The Chairman / Managing Director / Chief Executive Officer</w:t>
      </w:r>
      <w:r w:rsidRPr="006B47C2">
        <w:rPr>
          <w:rFonts w:ascii="Arial" w:eastAsia="Times New Roman" w:hAnsi="Arial" w:cs="Arial"/>
          <w:color w:val="000000"/>
          <w:kern w:val="0"/>
          <w:sz w:val="20"/>
          <w:szCs w:val="20"/>
          <w:lang w:eastAsia="en-IN"/>
          <w14:ligatures w14:val="none"/>
        </w:rPr>
        <w:br/>
        <w:t>Authorised Payment System Operators and Participants (Banks and Non-banks)</w:t>
      </w:r>
    </w:p>
    <w:p w14:paraId="45FC28B0"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Madam / Dear Sir,</w:t>
      </w:r>
    </w:p>
    <w:p w14:paraId="75B1C9B7" w14:textId="77777777" w:rsidR="006B47C2" w:rsidRPr="006B47C2" w:rsidRDefault="006B47C2" w:rsidP="006B47C2">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6B47C2">
        <w:rPr>
          <w:rFonts w:ascii="Arial" w:eastAsia="Times New Roman" w:hAnsi="Arial" w:cs="Arial"/>
          <w:b/>
          <w:bCs/>
          <w:color w:val="000000"/>
          <w:kern w:val="0"/>
          <w:sz w:val="20"/>
          <w:szCs w:val="20"/>
          <w:lang w:eastAsia="en-IN"/>
          <w14:ligatures w14:val="none"/>
        </w:rPr>
        <w:t>Enhancing transaction limits for Small Value Digital Payments in Offline Mode</w:t>
      </w:r>
    </w:p>
    <w:p w14:paraId="40947342"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This has reference to the Reserve Bank of India </w:t>
      </w:r>
      <w:hyperlink r:id="rId13" w:tgtFrame="_blank" w:history="1">
        <w:r w:rsidRPr="006B47C2">
          <w:rPr>
            <w:rFonts w:ascii="Arial" w:eastAsia="Times New Roman" w:hAnsi="Arial" w:cs="Arial"/>
            <w:color w:val="0000FF"/>
            <w:kern w:val="0"/>
            <w:sz w:val="20"/>
            <w:szCs w:val="20"/>
            <w:u w:val="single"/>
            <w:lang w:eastAsia="en-IN"/>
            <w14:ligatures w14:val="none"/>
          </w:rPr>
          <w:t>circular CO.DPSS.POLC.No.S1264/02-14-003/2021-2022 dated January 03, 2022</w:t>
        </w:r>
      </w:hyperlink>
      <w:r w:rsidRPr="006B47C2">
        <w:rPr>
          <w:rFonts w:ascii="Arial" w:eastAsia="Times New Roman" w:hAnsi="Arial" w:cs="Arial"/>
          <w:color w:val="000000"/>
          <w:kern w:val="0"/>
          <w:sz w:val="20"/>
          <w:szCs w:val="20"/>
          <w:lang w:eastAsia="en-IN"/>
          <w14:ligatures w14:val="none"/>
        </w:rPr>
        <w:t> on “Framework for Facilitating Small Value Digital Payments in Offline Mode”.</w:t>
      </w:r>
    </w:p>
    <w:p w14:paraId="1A167588"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2. As announced in the </w:t>
      </w:r>
      <w:hyperlink r:id="rId14" w:tgtFrame="_blank" w:history="1">
        <w:r w:rsidRPr="006B47C2">
          <w:rPr>
            <w:rFonts w:ascii="Arial" w:eastAsia="Times New Roman" w:hAnsi="Arial" w:cs="Arial"/>
            <w:color w:val="0000FF"/>
            <w:kern w:val="0"/>
            <w:sz w:val="20"/>
            <w:szCs w:val="20"/>
            <w:u w:val="single"/>
            <w:lang w:eastAsia="en-IN"/>
            <w14:ligatures w14:val="none"/>
          </w:rPr>
          <w:t>Statement on Development and Regulatory Policies dated August 10, 2023</w:t>
        </w:r>
      </w:hyperlink>
      <w:r w:rsidRPr="006B47C2">
        <w:rPr>
          <w:rFonts w:ascii="Arial" w:eastAsia="Times New Roman" w:hAnsi="Arial" w:cs="Arial"/>
          <w:color w:val="000000"/>
          <w:kern w:val="0"/>
          <w:sz w:val="20"/>
          <w:szCs w:val="20"/>
          <w:lang w:eastAsia="en-IN"/>
          <w14:ligatures w14:val="none"/>
        </w:rPr>
        <w:t>, the upper limit of an offline payment transaction is increased to ₹500. Other instructions mentioned in the framework shall continue to remain applicable as before.</w:t>
      </w:r>
    </w:p>
    <w:p w14:paraId="6AA7B1FA"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3. This directive is issued under Section 10 (2) read with Section 18 of the Payment and Settlement Systems Act, 2007 (Act 51 of 2007) and shall come into effect immediately.</w:t>
      </w:r>
    </w:p>
    <w:p w14:paraId="3E63C047"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Yours faithfully,</w:t>
      </w:r>
    </w:p>
    <w:p w14:paraId="13D43252" w14:textId="4E9B350D"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w:t>
      </w:r>
      <w:proofErr w:type="spellStart"/>
      <w:r w:rsidRPr="006B47C2">
        <w:rPr>
          <w:rFonts w:ascii="Arial" w:eastAsia="Times New Roman" w:hAnsi="Arial" w:cs="Arial"/>
          <w:color w:val="000000"/>
          <w:kern w:val="0"/>
          <w:sz w:val="20"/>
          <w:szCs w:val="20"/>
          <w:lang w:eastAsia="en-IN"/>
          <w14:ligatures w14:val="none"/>
        </w:rPr>
        <w:t>Gunveer</w:t>
      </w:r>
      <w:proofErr w:type="spellEnd"/>
      <w:r w:rsidRPr="006B47C2">
        <w:rPr>
          <w:rFonts w:ascii="Arial" w:eastAsia="Times New Roman" w:hAnsi="Arial" w:cs="Arial"/>
          <w:color w:val="000000"/>
          <w:kern w:val="0"/>
          <w:sz w:val="20"/>
          <w:szCs w:val="20"/>
          <w:lang w:eastAsia="en-IN"/>
          <w14:ligatures w14:val="none"/>
        </w:rPr>
        <w:t xml:space="preserve"> Singh)</w:t>
      </w:r>
      <w:r w:rsidRPr="006B47C2">
        <w:rPr>
          <w:rFonts w:ascii="Arial" w:eastAsia="Times New Roman" w:hAnsi="Arial" w:cs="Arial"/>
          <w:color w:val="000000"/>
          <w:kern w:val="0"/>
          <w:sz w:val="20"/>
          <w:szCs w:val="20"/>
          <w:lang w:eastAsia="en-IN"/>
          <w14:ligatures w14:val="none"/>
        </w:rPr>
        <w:br/>
        <w:t>Chief General Manager-in-Charge</w:t>
      </w:r>
    </w:p>
    <w:p w14:paraId="27D44B0A" w14:textId="77777777"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02775B3A" w14:textId="77777777"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0EE1735A" w14:textId="68769874" w:rsidR="006B47C2" w:rsidRDefault="000729E7"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729E7">
        <w:rPr>
          <w:rFonts w:ascii="Arial" w:eastAsia="Times New Roman" w:hAnsi="Arial" w:cs="Arial"/>
          <w:color w:val="000000"/>
          <w:kern w:val="0"/>
          <w:sz w:val="20"/>
          <w:szCs w:val="20"/>
          <w:lang w:eastAsia="en-IN"/>
          <w14:ligatures w14:val="none"/>
        </w:rPr>
        <w:t>For more details, Kindly refer:</w:t>
      </w:r>
    </w:p>
    <w:p w14:paraId="334F1595" w14:textId="49422B46"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hyperlink r:id="rId15" w:history="1">
        <w:r w:rsidRPr="00FC240A">
          <w:rPr>
            <w:rStyle w:val="Hyperlink"/>
            <w:rFonts w:ascii="Arial" w:eastAsia="Times New Roman" w:hAnsi="Arial" w:cs="Arial"/>
            <w:kern w:val="0"/>
            <w:sz w:val="20"/>
            <w:szCs w:val="20"/>
            <w:lang w:eastAsia="en-IN"/>
            <w14:ligatures w14:val="none"/>
          </w:rPr>
          <w:t>https://rbi.org.in/Scripts/NotificationUser.aspx?Id=12531&amp;Mode=0</w:t>
        </w:r>
      </w:hyperlink>
    </w:p>
    <w:p w14:paraId="44B543C0" w14:textId="0A8301A9"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5EE37314" w14:textId="56C2B96E"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075091C6" w14:textId="38F5001E"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2A1258AA" w14:textId="1CE03C77"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617C5860" w14:textId="7A574F16"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0281F4A2" w14:textId="4E92A538"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6AD9424A" w14:textId="2BD105C6"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0CD73E32" w14:textId="3879BFA8"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411D5EF9" w14:textId="0EFA4F57"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33C2855D" w14:textId="2175A692" w:rsidR="006B47C2" w:rsidRDefault="006B47C2" w:rsidP="006B47C2">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r w:rsidRPr="006B47C2">
        <w:rPr>
          <w:rFonts w:eastAsia="Times New Roman" w:cstheme="minorHAnsi"/>
          <w:b/>
          <w:color w:val="000000"/>
          <w:kern w:val="0"/>
          <w:sz w:val="24"/>
          <w:szCs w:val="24"/>
          <w:lang w:eastAsia="en-IN"/>
          <w14:ligatures w14:val="none"/>
        </w:rPr>
        <w:lastRenderedPageBreak/>
        <w:t>Responsible Lending Conduct – Release of Movable / Immovable Property Documents on Repayment/ Settlement of Personal Loans</w:t>
      </w:r>
    </w:p>
    <w:p w14:paraId="171976B2"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RBI/2023-24/60</w:t>
      </w:r>
      <w:r w:rsidRPr="006B47C2">
        <w:rPr>
          <w:rFonts w:ascii="Arial" w:eastAsia="Times New Roman" w:hAnsi="Arial" w:cs="Arial"/>
          <w:color w:val="000000"/>
          <w:kern w:val="0"/>
          <w:sz w:val="20"/>
          <w:szCs w:val="20"/>
          <w:lang w:eastAsia="en-IN"/>
          <w14:ligatures w14:val="none"/>
        </w:rPr>
        <w:br/>
        <w:t>DoR.MCS.REC.38/01.01.001/2023-24</w:t>
      </w:r>
    </w:p>
    <w:p w14:paraId="46EB46D5" w14:textId="77777777" w:rsidR="006B47C2" w:rsidRPr="006B47C2" w:rsidRDefault="006B47C2" w:rsidP="006B47C2">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September 13, 2023</w:t>
      </w:r>
    </w:p>
    <w:p w14:paraId="4B092DBF" w14:textId="77777777" w:rsidR="006B47C2" w:rsidRP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All Commercial Banks (including Small Finance Banks</w:t>
      </w:r>
      <w:r w:rsidRPr="006B47C2">
        <w:rPr>
          <w:rFonts w:ascii="Arial" w:eastAsia="Times New Roman" w:hAnsi="Arial" w:cs="Arial"/>
          <w:color w:val="000000"/>
          <w:kern w:val="0"/>
          <w:sz w:val="20"/>
          <w:szCs w:val="20"/>
          <w:lang w:eastAsia="en-IN"/>
          <w14:ligatures w14:val="none"/>
        </w:rPr>
        <w:br/>
        <w:t>and Regional Rural Banks, excluding Payments Banks)</w:t>
      </w:r>
      <w:r w:rsidRPr="006B47C2">
        <w:rPr>
          <w:rFonts w:ascii="Arial" w:eastAsia="Times New Roman" w:hAnsi="Arial" w:cs="Arial"/>
          <w:color w:val="000000"/>
          <w:kern w:val="0"/>
          <w:sz w:val="20"/>
          <w:szCs w:val="20"/>
          <w:lang w:eastAsia="en-IN"/>
          <w14:ligatures w14:val="none"/>
        </w:rPr>
        <w:br/>
        <w:t>All Local Area Banks</w:t>
      </w:r>
      <w:r w:rsidRPr="006B47C2">
        <w:rPr>
          <w:rFonts w:ascii="Arial" w:eastAsia="Times New Roman" w:hAnsi="Arial" w:cs="Arial"/>
          <w:color w:val="000000"/>
          <w:kern w:val="0"/>
          <w:sz w:val="20"/>
          <w:szCs w:val="20"/>
          <w:lang w:eastAsia="en-IN"/>
          <w14:ligatures w14:val="none"/>
        </w:rPr>
        <w:br/>
        <w:t>All Primary (Urban) Co-operative Banks</w:t>
      </w:r>
      <w:r w:rsidRPr="006B47C2">
        <w:rPr>
          <w:rFonts w:ascii="Arial" w:eastAsia="Times New Roman" w:hAnsi="Arial" w:cs="Arial"/>
          <w:color w:val="000000"/>
          <w:kern w:val="0"/>
          <w:sz w:val="20"/>
          <w:szCs w:val="20"/>
          <w:lang w:eastAsia="en-IN"/>
          <w14:ligatures w14:val="none"/>
        </w:rPr>
        <w:br/>
        <w:t>All State Co-operative Banks and District Central Co-operative Banks</w:t>
      </w:r>
      <w:r w:rsidRPr="006B47C2">
        <w:rPr>
          <w:rFonts w:ascii="Arial" w:eastAsia="Times New Roman" w:hAnsi="Arial" w:cs="Arial"/>
          <w:color w:val="000000"/>
          <w:kern w:val="0"/>
          <w:sz w:val="20"/>
          <w:szCs w:val="20"/>
          <w:lang w:eastAsia="en-IN"/>
          <w14:ligatures w14:val="none"/>
        </w:rPr>
        <w:br/>
        <w:t>All NBFCs (including HFCs)</w:t>
      </w:r>
      <w:r w:rsidRPr="006B47C2">
        <w:rPr>
          <w:rFonts w:ascii="Arial" w:eastAsia="Times New Roman" w:hAnsi="Arial" w:cs="Arial"/>
          <w:color w:val="000000"/>
          <w:kern w:val="0"/>
          <w:sz w:val="20"/>
          <w:szCs w:val="20"/>
          <w:lang w:eastAsia="en-IN"/>
          <w14:ligatures w14:val="none"/>
        </w:rPr>
        <w:br/>
        <w:t>All Asset Reconstruction Companies</w:t>
      </w:r>
    </w:p>
    <w:p w14:paraId="3A2CE675"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Madam / Dear Sir,</w:t>
      </w:r>
    </w:p>
    <w:p w14:paraId="6791E9D2" w14:textId="77777777" w:rsidR="006B47C2" w:rsidRPr="006B47C2" w:rsidRDefault="006B47C2" w:rsidP="006B47C2">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6B47C2">
        <w:rPr>
          <w:rFonts w:ascii="Arial" w:eastAsia="Times New Roman" w:hAnsi="Arial" w:cs="Arial"/>
          <w:b/>
          <w:bCs/>
          <w:color w:val="000000"/>
          <w:kern w:val="0"/>
          <w:sz w:val="20"/>
          <w:szCs w:val="20"/>
          <w:lang w:eastAsia="en-IN"/>
          <w14:ligatures w14:val="none"/>
        </w:rPr>
        <w:t>Responsible Lending Conduct – Release of Movable / Immovable Property Documents on Repayment/ Settlement of Personal</w:t>
      </w:r>
      <w:hyperlink r:id="rId16" w:anchor="F1" w:history="1">
        <w:r w:rsidRPr="006B47C2">
          <w:rPr>
            <w:rFonts w:ascii="Arial" w:eastAsia="Times New Roman" w:hAnsi="Arial" w:cs="Arial"/>
            <w:b/>
            <w:bCs/>
            <w:color w:val="0000FF"/>
            <w:kern w:val="0"/>
            <w:sz w:val="15"/>
            <w:szCs w:val="15"/>
            <w:u w:val="single"/>
            <w:vertAlign w:val="superscript"/>
            <w:lang w:eastAsia="en-IN"/>
            <w14:ligatures w14:val="none"/>
          </w:rPr>
          <w:t>1</w:t>
        </w:r>
      </w:hyperlink>
      <w:r w:rsidRPr="006B47C2">
        <w:rPr>
          <w:rFonts w:ascii="Arial" w:eastAsia="Times New Roman" w:hAnsi="Arial" w:cs="Arial"/>
          <w:b/>
          <w:bCs/>
          <w:color w:val="000000"/>
          <w:kern w:val="0"/>
          <w:sz w:val="20"/>
          <w:szCs w:val="20"/>
          <w:lang w:eastAsia="en-IN"/>
          <w14:ligatures w14:val="none"/>
        </w:rPr>
        <w:t> Loans</w:t>
      </w:r>
    </w:p>
    <w:p w14:paraId="63C41CE4"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In terms of the guidelines on Fair Practices Code issued to various Regulated Entities (REs) since 2003, REs are required to release all movable / immovable property documents upon receiving full repayment and closure of loan account. However, it has been observed that the REs follow divergent practices in release of such movable / immovable property documents leading to customer grievances and disputes. To address the issues faced by the borrowers and towards promoting responsible lending conduct among the REs, the following Directions are being issued:</w:t>
      </w:r>
    </w:p>
    <w:p w14:paraId="75953D7A" w14:textId="77777777" w:rsidR="006B47C2" w:rsidRPr="006B47C2" w:rsidRDefault="006B47C2" w:rsidP="006B47C2">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6B47C2">
        <w:rPr>
          <w:rFonts w:ascii="Arial" w:eastAsia="Times New Roman" w:hAnsi="Arial" w:cs="Arial"/>
          <w:b/>
          <w:bCs/>
          <w:color w:val="000000"/>
          <w:kern w:val="0"/>
          <w:sz w:val="20"/>
          <w:szCs w:val="20"/>
          <w:lang w:eastAsia="en-IN"/>
          <w14:ligatures w14:val="none"/>
        </w:rPr>
        <w:t>Release of Movable / Immovable Property Documents</w:t>
      </w:r>
    </w:p>
    <w:p w14:paraId="79646BAD"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2. The REs shall release all the original movable / immovable property documents and remove charges registered with any registry within a period of 30 days after full repayment/ settlement of the loan account.</w:t>
      </w:r>
    </w:p>
    <w:p w14:paraId="1C83BD84"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3. The borrower shall be given the option of collecting the original movable / immovable property documents either from the banking outlet / branch where the loan account was serviced or any other office of the RE where the documents are available, as per her / his preference.</w:t>
      </w:r>
    </w:p>
    <w:p w14:paraId="050A3990"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4. The timeline and place of return of original movable / immovable property documents will be mentioned in the loan sanction letters issued on or after the effective date.</w:t>
      </w:r>
    </w:p>
    <w:p w14:paraId="744EFD29"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5. In order to address the contingent event of demise of the sole borrower or joint borrowers, the REs shall have a well laid out procedure for return of original movable / immovable property documents to the legal heirs. Such procedure shall be displayed on the website of the REs along with other similar policies and procedures for customer information.</w:t>
      </w:r>
    </w:p>
    <w:p w14:paraId="15530269" w14:textId="77777777" w:rsidR="006B47C2" w:rsidRPr="006B47C2" w:rsidRDefault="006B47C2" w:rsidP="006B47C2">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6B47C2">
        <w:rPr>
          <w:rFonts w:ascii="Arial" w:eastAsia="Times New Roman" w:hAnsi="Arial" w:cs="Arial"/>
          <w:b/>
          <w:bCs/>
          <w:color w:val="000000"/>
          <w:kern w:val="0"/>
          <w:sz w:val="20"/>
          <w:szCs w:val="20"/>
          <w:lang w:eastAsia="en-IN"/>
          <w14:ligatures w14:val="none"/>
        </w:rPr>
        <w:t>Compensation for delay in release of Movable / Immovable Property Documents</w:t>
      </w:r>
    </w:p>
    <w:p w14:paraId="2C903B01"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6. In case of delay in releasing of original movable / immovable property documents or failing to file charge satisfaction form with relevant registry beyond 30 days after full repayment/ settlement of loan, the RE shall communicate to the borrower reasons for such delay. In case where the delay is attributable to the RE, it shall compensate the borrower at the rate of ₹5,000/- for each day of delay.</w:t>
      </w:r>
    </w:p>
    <w:p w14:paraId="34346C6E"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 xml:space="preserve">7. In case of loss/damage to original movable / immovable property documents, either in part or in full, the REs shall assist the borrower in obtaining duplicate/certified copies of the movable / immovable property documents and shall bear the associated costs, in addition to paying compensation as indicated at paragraph 6 above. However, in such cases, an additional time of 30 days will be available </w:t>
      </w:r>
      <w:r w:rsidRPr="006B47C2">
        <w:rPr>
          <w:rFonts w:ascii="Arial" w:eastAsia="Times New Roman" w:hAnsi="Arial" w:cs="Arial"/>
          <w:color w:val="000000"/>
          <w:kern w:val="0"/>
          <w:sz w:val="20"/>
          <w:szCs w:val="20"/>
          <w:lang w:eastAsia="en-IN"/>
          <w14:ligatures w14:val="none"/>
        </w:rPr>
        <w:lastRenderedPageBreak/>
        <w:t>to the REs to complete this procedure and the delayed period penalty will be calculated thereafter (i.e., after a total period of 60 days).</w:t>
      </w:r>
    </w:p>
    <w:p w14:paraId="5A309459"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8. The compensation provided under these directions shall be without prejudice to the rights of a borrower to get any other compensation as per any applicable law.</w:t>
      </w:r>
    </w:p>
    <w:p w14:paraId="14B7F2C0" w14:textId="77777777" w:rsidR="006B47C2" w:rsidRPr="006B47C2" w:rsidRDefault="006B47C2" w:rsidP="006B47C2">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6B47C2">
        <w:rPr>
          <w:rFonts w:ascii="Arial" w:eastAsia="Times New Roman" w:hAnsi="Arial" w:cs="Arial"/>
          <w:b/>
          <w:bCs/>
          <w:color w:val="000000"/>
          <w:kern w:val="0"/>
          <w:sz w:val="20"/>
          <w:szCs w:val="20"/>
          <w:lang w:eastAsia="en-IN"/>
          <w14:ligatures w14:val="none"/>
        </w:rPr>
        <w:t>Applicability</w:t>
      </w:r>
    </w:p>
    <w:p w14:paraId="6FE8701C"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9. These Directions shall be applicable to all cases where release of original movable / immovable property documents falls due on or after December 1, 2023.</w:t>
      </w:r>
    </w:p>
    <w:p w14:paraId="4321E380"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10. The above Directions are issued under sections 21, 35A and 56 of the Banking Regulation Act, 1949, sections 45JA and 45L of the Reserve Bank of India Act, 1934, and section 30A of the National Housing Bank Act, 1987.</w:t>
      </w:r>
    </w:p>
    <w:p w14:paraId="06216CC3"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Yours faithfully,</w:t>
      </w:r>
    </w:p>
    <w:p w14:paraId="4B561E5A" w14:textId="41D72E4C"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 xml:space="preserve">(Santosh Kumar </w:t>
      </w:r>
      <w:proofErr w:type="spellStart"/>
      <w:r w:rsidRPr="006B47C2">
        <w:rPr>
          <w:rFonts w:ascii="Arial" w:eastAsia="Times New Roman" w:hAnsi="Arial" w:cs="Arial"/>
          <w:color w:val="000000"/>
          <w:kern w:val="0"/>
          <w:sz w:val="20"/>
          <w:szCs w:val="20"/>
          <w:lang w:eastAsia="en-IN"/>
          <w14:ligatures w14:val="none"/>
        </w:rPr>
        <w:t>Panigrahy</w:t>
      </w:r>
      <w:proofErr w:type="spellEnd"/>
      <w:r w:rsidRPr="006B47C2">
        <w:rPr>
          <w:rFonts w:ascii="Arial" w:eastAsia="Times New Roman" w:hAnsi="Arial" w:cs="Arial"/>
          <w:color w:val="000000"/>
          <w:kern w:val="0"/>
          <w:sz w:val="20"/>
          <w:szCs w:val="20"/>
          <w:lang w:eastAsia="en-IN"/>
          <w14:ligatures w14:val="none"/>
        </w:rPr>
        <w:t>)</w:t>
      </w:r>
      <w:r w:rsidRPr="006B47C2">
        <w:rPr>
          <w:rFonts w:ascii="Arial" w:eastAsia="Times New Roman" w:hAnsi="Arial" w:cs="Arial"/>
          <w:color w:val="000000"/>
          <w:kern w:val="0"/>
          <w:sz w:val="20"/>
          <w:szCs w:val="20"/>
          <w:lang w:eastAsia="en-IN"/>
          <w14:ligatures w14:val="none"/>
        </w:rPr>
        <w:br/>
        <w:t>Chief General Manager</w:t>
      </w:r>
    </w:p>
    <w:p w14:paraId="7717FE03" w14:textId="1A553D93" w:rsidR="006B47C2" w:rsidRDefault="000729E7"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729E7">
        <w:rPr>
          <w:rFonts w:ascii="Arial" w:eastAsia="Times New Roman" w:hAnsi="Arial" w:cs="Arial"/>
          <w:color w:val="000000"/>
          <w:kern w:val="0"/>
          <w:sz w:val="20"/>
          <w:szCs w:val="20"/>
          <w:lang w:eastAsia="en-IN"/>
          <w14:ligatures w14:val="none"/>
        </w:rPr>
        <w:t>For more details, Kindly refer:</w:t>
      </w:r>
    </w:p>
    <w:p w14:paraId="24F3EBD4" w14:textId="12D5FAD2"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hyperlink r:id="rId17" w:history="1">
        <w:r w:rsidRPr="00FC240A">
          <w:rPr>
            <w:rStyle w:val="Hyperlink"/>
            <w:rFonts w:ascii="Arial" w:eastAsia="Times New Roman" w:hAnsi="Arial" w:cs="Arial"/>
            <w:kern w:val="0"/>
            <w:sz w:val="20"/>
            <w:szCs w:val="20"/>
            <w:lang w:eastAsia="en-IN"/>
            <w14:ligatures w14:val="none"/>
          </w:rPr>
          <w:t>https://rbi.org.in/Scripts/NotificationUser.aspx?Id=12535&amp;Mode=0</w:t>
        </w:r>
      </w:hyperlink>
    </w:p>
    <w:p w14:paraId="7C60E819" w14:textId="3604088E"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53C90740" w14:textId="62281005"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35FB6DA1" w14:textId="09A97CDA"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462775FC" w14:textId="72E626A0"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0264BF6A" w14:textId="6E0FFF93"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76CCA1D6" w14:textId="23699431"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2466E29C" w14:textId="1A10471A"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7D846E68" w14:textId="5C8C944D"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18222604" w14:textId="71192B56"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6DA071CF" w14:textId="3F3AFDDF"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552A2E99" w14:textId="4E4A9493"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1E32A1F2" w14:textId="177B92E3"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7ABEDD5C" w14:textId="073F1CE5"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1B442415" w14:textId="2028F786"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5EAC8481" w14:textId="1B6424E1"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2169D0AA" w14:textId="0FB40650"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0862DF37" w14:textId="2E0CFED8" w:rsidR="006B47C2" w:rsidRDefault="006B47C2" w:rsidP="006B47C2">
      <w:pPr>
        <w:spacing w:before="100" w:beforeAutospacing="1" w:after="100" w:afterAutospacing="1" w:line="240" w:lineRule="auto"/>
        <w:rPr>
          <w:rFonts w:eastAsia="Times New Roman" w:cstheme="minorHAnsi"/>
          <w:b/>
          <w:color w:val="000000"/>
          <w:kern w:val="0"/>
          <w:sz w:val="24"/>
          <w:szCs w:val="24"/>
          <w:lang w:eastAsia="en-IN"/>
          <w14:ligatures w14:val="none"/>
        </w:rPr>
      </w:pPr>
      <w:r w:rsidRPr="006B47C2">
        <w:rPr>
          <w:rFonts w:eastAsia="Times New Roman" w:cstheme="minorHAnsi"/>
          <w:b/>
          <w:color w:val="000000"/>
          <w:kern w:val="0"/>
          <w:sz w:val="24"/>
          <w:szCs w:val="24"/>
          <w:lang w:eastAsia="en-IN"/>
          <w14:ligatures w14:val="none"/>
        </w:rPr>
        <w:lastRenderedPageBreak/>
        <w:t xml:space="preserve">PM </w:t>
      </w:r>
      <w:proofErr w:type="spellStart"/>
      <w:r w:rsidRPr="006B47C2">
        <w:rPr>
          <w:rFonts w:eastAsia="Times New Roman" w:cstheme="minorHAnsi"/>
          <w:b/>
          <w:color w:val="000000"/>
          <w:kern w:val="0"/>
          <w:sz w:val="24"/>
          <w:szCs w:val="24"/>
          <w:lang w:eastAsia="en-IN"/>
          <w14:ligatures w14:val="none"/>
        </w:rPr>
        <w:t>Vishwakarma</w:t>
      </w:r>
      <w:proofErr w:type="spellEnd"/>
      <w:r w:rsidRPr="006B47C2">
        <w:rPr>
          <w:rFonts w:eastAsia="Times New Roman" w:cstheme="minorHAnsi"/>
          <w:b/>
          <w:color w:val="000000"/>
          <w:kern w:val="0"/>
          <w:sz w:val="24"/>
          <w:szCs w:val="24"/>
          <w:lang w:eastAsia="en-IN"/>
          <w14:ligatures w14:val="none"/>
        </w:rPr>
        <w:t xml:space="preserve"> Scheme</w:t>
      </w:r>
    </w:p>
    <w:p w14:paraId="12E48C27"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RBI/2023-24/61</w:t>
      </w:r>
      <w:r w:rsidRPr="006B47C2">
        <w:rPr>
          <w:rFonts w:ascii="Arial" w:eastAsia="Times New Roman" w:hAnsi="Arial" w:cs="Arial"/>
          <w:color w:val="000000"/>
          <w:kern w:val="0"/>
          <w:sz w:val="20"/>
          <w:szCs w:val="20"/>
          <w:lang w:eastAsia="en-IN"/>
          <w14:ligatures w14:val="none"/>
        </w:rPr>
        <w:br/>
        <w:t>FIDD.CO.MSME.BC.No.10/06.02.031/2023-24</w:t>
      </w:r>
    </w:p>
    <w:p w14:paraId="64E17102" w14:textId="77777777" w:rsidR="006B47C2" w:rsidRPr="006B47C2" w:rsidRDefault="006B47C2" w:rsidP="006B47C2">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September 13, 2023</w:t>
      </w:r>
    </w:p>
    <w:p w14:paraId="37B94673" w14:textId="77777777" w:rsidR="006B47C2" w:rsidRP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The Chairman/ Managing Director/Chief Executive Officer</w:t>
      </w:r>
      <w:r w:rsidRPr="006B47C2">
        <w:rPr>
          <w:rFonts w:ascii="Arial" w:eastAsia="Times New Roman" w:hAnsi="Arial" w:cs="Arial"/>
          <w:color w:val="000000"/>
          <w:kern w:val="0"/>
          <w:sz w:val="20"/>
          <w:szCs w:val="20"/>
          <w:lang w:eastAsia="en-IN"/>
          <w14:ligatures w14:val="none"/>
        </w:rPr>
        <w:br/>
        <w:t>All Scheduled Commercial Banks</w:t>
      </w:r>
      <w:r w:rsidRPr="006B47C2">
        <w:rPr>
          <w:rFonts w:ascii="Arial" w:eastAsia="Times New Roman" w:hAnsi="Arial" w:cs="Arial"/>
          <w:color w:val="000000"/>
          <w:kern w:val="0"/>
          <w:sz w:val="20"/>
          <w:szCs w:val="20"/>
          <w:lang w:eastAsia="en-IN"/>
          <w14:ligatures w14:val="none"/>
        </w:rPr>
        <w:br/>
        <w:t>(including Small Finance Banks and Regional Rural Banks, excluding Payments Banks)</w:t>
      </w:r>
      <w:r w:rsidRPr="006B47C2">
        <w:rPr>
          <w:rFonts w:ascii="Arial" w:eastAsia="Times New Roman" w:hAnsi="Arial" w:cs="Arial"/>
          <w:color w:val="000000"/>
          <w:kern w:val="0"/>
          <w:sz w:val="20"/>
          <w:szCs w:val="20"/>
          <w:lang w:eastAsia="en-IN"/>
          <w14:ligatures w14:val="none"/>
        </w:rPr>
        <w:br/>
        <w:t>All Primary (Urban) Co-operative Banks/State Co-operative Banks</w:t>
      </w:r>
      <w:r w:rsidRPr="006B47C2">
        <w:rPr>
          <w:rFonts w:ascii="Arial" w:eastAsia="Times New Roman" w:hAnsi="Arial" w:cs="Arial"/>
          <w:color w:val="000000"/>
          <w:kern w:val="0"/>
          <w:sz w:val="20"/>
          <w:szCs w:val="20"/>
          <w:lang w:eastAsia="en-IN"/>
          <w14:ligatures w14:val="none"/>
        </w:rPr>
        <w:br/>
        <w:t>/ District Central Co-operative Banks</w:t>
      </w:r>
      <w:r w:rsidRPr="006B47C2">
        <w:rPr>
          <w:rFonts w:ascii="Arial" w:eastAsia="Times New Roman" w:hAnsi="Arial" w:cs="Arial"/>
          <w:color w:val="000000"/>
          <w:kern w:val="0"/>
          <w:sz w:val="20"/>
          <w:szCs w:val="20"/>
          <w:lang w:eastAsia="en-IN"/>
          <w14:ligatures w14:val="none"/>
        </w:rPr>
        <w:br/>
        <w:t>All Non-Banking Financial Companies (excluding housing finance companies)</w:t>
      </w:r>
    </w:p>
    <w:p w14:paraId="59D072C2"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Madam / Dear Sir,</w:t>
      </w:r>
    </w:p>
    <w:p w14:paraId="2CCF532C" w14:textId="77777777" w:rsidR="006B47C2" w:rsidRPr="006B47C2" w:rsidRDefault="006B47C2" w:rsidP="006B47C2">
      <w:pPr>
        <w:spacing w:before="100" w:beforeAutospacing="1" w:after="100" w:afterAutospacing="1" w:line="240" w:lineRule="auto"/>
        <w:jc w:val="center"/>
        <w:rPr>
          <w:rFonts w:ascii="Arial" w:eastAsia="Times New Roman" w:hAnsi="Arial" w:cs="Arial"/>
          <w:b/>
          <w:bCs/>
          <w:color w:val="000000"/>
          <w:kern w:val="0"/>
          <w:sz w:val="20"/>
          <w:szCs w:val="20"/>
          <w:lang w:eastAsia="en-IN"/>
          <w14:ligatures w14:val="none"/>
        </w:rPr>
      </w:pPr>
      <w:r w:rsidRPr="006B47C2">
        <w:rPr>
          <w:rFonts w:ascii="Arial" w:eastAsia="Times New Roman" w:hAnsi="Arial" w:cs="Arial"/>
          <w:b/>
          <w:bCs/>
          <w:color w:val="000000"/>
          <w:kern w:val="0"/>
          <w:sz w:val="20"/>
          <w:szCs w:val="20"/>
          <w:lang w:eastAsia="en-IN"/>
          <w14:ligatures w14:val="none"/>
        </w:rPr>
        <w:t xml:space="preserve">PM </w:t>
      </w:r>
      <w:proofErr w:type="spellStart"/>
      <w:r w:rsidRPr="006B47C2">
        <w:rPr>
          <w:rFonts w:ascii="Arial" w:eastAsia="Times New Roman" w:hAnsi="Arial" w:cs="Arial"/>
          <w:b/>
          <w:bCs/>
          <w:color w:val="000000"/>
          <w:kern w:val="0"/>
          <w:sz w:val="20"/>
          <w:szCs w:val="20"/>
          <w:lang w:eastAsia="en-IN"/>
          <w14:ligatures w14:val="none"/>
        </w:rPr>
        <w:t>Vishwakarma</w:t>
      </w:r>
      <w:proofErr w:type="spellEnd"/>
      <w:r w:rsidRPr="006B47C2">
        <w:rPr>
          <w:rFonts w:ascii="Arial" w:eastAsia="Times New Roman" w:hAnsi="Arial" w:cs="Arial"/>
          <w:b/>
          <w:bCs/>
          <w:color w:val="000000"/>
          <w:kern w:val="0"/>
          <w:sz w:val="20"/>
          <w:szCs w:val="20"/>
          <w:lang w:eastAsia="en-IN"/>
          <w14:ligatures w14:val="none"/>
        </w:rPr>
        <w:t xml:space="preserve"> Scheme</w:t>
      </w:r>
    </w:p>
    <w:p w14:paraId="28B67888"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 xml:space="preserve">Government of India (GoI) has introduced the ‘PM </w:t>
      </w:r>
      <w:proofErr w:type="spellStart"/>
      <w:r w:rsidRPr="006B47C2">
        <w:rPr>
          <w:rFonts w:ascii="Arial" w:eastAsia="Times New Roman" w:hAnsi="Arial" w:cs="Arial"/>
          <w:color w:val="000000"/>
          <w:kern w:val="0"/>
          <w:sz w:val="20"/>
          <w:szCs w:val="20"/>
          <w:lang w:eastAsia="en-IN"/>
          <w14:ligatures w14:val="none"/>
        </w:rPr>
        <w:t>Vishwakarma</w:t>
      </w:r>
      <w:proofErr w:type="spellEnd"/>
      <w:r w:rsidRPr="006B47C2">
        <w:rPr>
          <w:rFonts w:ascii="Arial" w:eastAsia="Times New Roman" w:hAnsi="Arial" w:cs="Arial"/>
          <w:color w:val="000000"/>
          <w:kern w:val="0"/>
          <w:sz w:val="20"/>
          <w:szCs w:val="20"/>
          <w:lang w:eastAsia="en-IN"/>
          <w14:ligatures w14:val="none"/>
        </w:rPr>
        <w:t xml:space="preserve"> Scheme’ which aims to provide support to artisans and craftspeople to enable them to move up the value chain in their respective trades. The Scheme envisages, among other measures, credit support to the beneficiaries at concessional interest rate, with interest subvention support by GoI.</w:t>
      </w:r>
    </w:p>
    <w:p w14:paraId="7B3AC00F"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2. In this regard, eligible lending institutions may refer to the Scheme </w:t>
      </w:r>
      <w:hyperlink r:id="rId18" w:tgtFrame="_blank" w:history="1">
        <w:r w:rsidRPr="006B47C2">
          <w:rPr>
            <w:rFonts w:ascii="Arial" w:eastAsia="Times New Roman" w:hAnsi="Arial" w:cs="Arial"/>
            <w:color w:val="0000FF"/>
            <w:kern w:val="0"/>
            <w:sz w:val="20"/>
            <w:szCs w:val="20"/>
            <w:u w:val="single"/>
            <w:lang w:eastAsia="en-IN"/>
            <w14:ligatures w14:val="none"/>
          </w:rPr>
          <w:t>guidelines</w:t>
        </w:r>
      </w:hyperlink>
      <w:r w:rsidRPr="006B47C2">
        <w:rPr>
          <w:rFonts w:ascii="Arial" w:eastAsia="Times New Roman" w:hAnsi="Arial" w:cs="Arial"/>
          <w:color w:val="000000"/>
          <w:kern w:val="0"/>
          <w:sz w:val="20"/>
          <w:szCs w:val="20"/>
          <w:lang w:eastAsia="en-IN"/>
          <w14:ligatures w14:val="none"/>
        </w:rPr>
        <w:t> issued by the Ministry of Micro, Small and Medium Enterprises, for appropriate action.</w:t>
      </w:r>
    </w:p>
    <w:p w14:paraId="17E70AAB" w14:textId="77777777" w:rsidR="006B47C2" w:rsidRPr="006B47C2" w:rsidRDefault="006B47C2" w:rsidP="006B47C2">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Yours faithfully,</w:t>
      </w:r>
    </w:p>
    <w:p w14:paraId="1591087B" w14:textId="77FF1FA9"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6B47C2">
        <w:rPr>
          <w:rFonts w:ascii="Arial" w:eastAsia="Times New Roman" w:hAnsi="Arial" w:cs="Arial"/>
          <w:color w:val="000000"/>
          <w:kern w:val="0"/>
          <w:sz w:val="20"/>
          <w:szCs w:val="20"/>
          <w:lang w:eastAsia="en-IN"/>
          <w14:ligatures w14:val="none"/>
        </w:rPr>
        <w:t>(</w:t>
      </w:r>
      <w:proofErr w:type="spellStart"/>
      <w:r w:rsidRPr="006B47C2">
        <w:rPr>
          <w:rFonts w:ascii="Arial" w:eastAsia="Times New Roman" w:hAnsi="Arial" w:cs="Arial"/>
          <w:color w:val="000000"/>
          <w:kern w:val="0"/>
          <w:sz w:val="20"/>
          <w:szCs w:val="20"/>
          <w:lang w:eastAsia="en-IN"/>
          <w14:ligatures w14:val="none"/>
        </w:rPr>
        <w:t>Nisha</w:t>
      </w:r>
      <w:proofErr w:type="spellEnd"/>
      <w:r w:rsidRPr="006B47C2">
        <w:rPr>
          <w:rFonts w:ascii="Arial" w:eastAsia="Times New Roman" w:hAnsi="Arial" w:cs="Arial"/>
          <w:color w:val="000000"/>
          <w:kern w:val="0"/>
          <w:sz w:val="20"/>
          <w:szCs w:val="20"/>
          <w:lang w:eastAsia="en-IN"/>
          <w14:ligatures w14:val="none"/>
        </w:rPr>
        <w:t xml:space="preserve"> </w:t>
      </w:r>
      <w:proofErr w:type="spellStart"/>
      <w:r w:rsidRPr="006B47C2">
        <w:rPr>
          <w:rFonts w:ascii="Arial" w:eastAsia="Times New Roman" w:hAnsi="Arial" w:cs="Arial"/>
          <w:color w:val="000000"/>
          <w:kern w:val="0"/>
          <w:sz w:val="20"/>
          <w:szCs w:val="20"/>
          <w:lang w:eastAsia="en-IN"/>
          <w14:ligatures w14:val="none"/>
        </w:rPr>
        <w:t>Nambiar</w:t>
      </w:r>
      <w:proofErr w:type="spellEnd"/>
      <w:r w:rsidRPr="006B47C2">
        <w:rPr>
          <w:rFonts w:ascii="Arial" w:eastAsia="Times New Roman" w:hAnsi="Arial" w:cs="Arial"/>
          <w:color w:val="000000"/>
          <w:kern w:val="0"/>
          <w:sz w:val="20"/>
          <w:szCs w:val="20"/>
          <w:lang w:eastAsia="en-IN"/>
          <w14:ligatures w14:val="none"/>
        </w:rPr>
        <w:t>)</w:t>
      </w:r>
      <w:r w:rsidRPr="006B47C2">
        <w:rPr>
          <w:rFonts w:ascii="Arial" w:eastAsia="Times New Roman" w:hAnsi="Arial" w:cs="Arial"/>
          <w:color w:val="000000"/>
          <w:kern w:val="0"/>
          <w:sz w:val="20"/>
          <w:szCs w:val="20"/>
          <w:lang w:eastAsia="en-IN"/>
          <w14:ligatures w14:val="none"/>
        </w:rPr>
        <w:br/>
        <w:t>Chief General Manager</w:t>
      </w:r>
    </w:p>
    <w:p w14:paraId="116E9374" w14:textId="5876868F" w:rsidR="006B47C2" w:rsidRDefault="000729E7"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729E7">
        <w:rPr>
          <w:rFonts w:ascii="Arial" w:eastAsia="Times New Roman" w:hAnsi="Arial" w:cs="Arial"/>
          <w:color w:val="000000"/>
          <w:kern w:val="0"/>
          <w:sz w:val="20"/>
          <w:szCs w:val="20"/>
          <w:lang w:eastAsia="en-IN"/>
          <w14:ligatures w14:val="none"/>
        </w:rPr>
        <w:t>For more details, Kindly refer:</w:t>
      </w:r>
    </w:p>
    <w:p w14:paraId="6C744077" w14:textId="744664B6"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hyperlink r:id="rId19" w:history="1">
        <w:r w:rsidRPr="00FC240A">
          <w:rPr>
            <w:rStyle w:val="Hyperlink"/>
            <w:rFonts w:ascii="Arial" w:eastAsia="Times New Roman" w:hAnsi="Arial" w:cs="Arial"/>
            <w:kern w:val="0"/>
            <w:sz w:val="20"/>
            <w:szCs w:val="20"/>
            <w:lang w:eastAsia="en-IN"/>
            <w14:ligatures w14:val="none"/>
          </w:rPr>
          <w:t>https://rbi.org.in/Scripts/NotificationUser.aspx?Id=12536&amp;Mode=0</w:t>
        </w:r>
      </w:hyperlink>
    </w:p>
    <w:p w14:paraId="491B2200" w14:textId="4B92990C"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52062FCF" w14:textId="5264F8DB"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06ABCF8A" w14:textId="08459CC8"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719C483F" w14:textId="138C7D72"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0FB528E7" w14:textId="33EED905"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6D086A02" w14:textId="76D7BCB8"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4D6FD18F" w14:textId="55C73862"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56CAF4D9" w14:textId="431FFC3A"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3D1C1D47" w14:textId="7A9C0F52"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65AF97A9" w14:textId="177DF7E4" w:rsidR="006B47C2" w:rsidRDefault="006B47C2" w:rsidP="006B47C2">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569BA2E5" w14:textId="460BB26F" w:rsidR="006B47C2" w:rsidRDefault="00C73605" w:rsidP="00C73605">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r w:rsidRPr="00C73605">
        <w:rPr>
          <w:rFonts w:eastAsia="Times New Roman" w:cstheme="minorHAnsi"/>
          <w:b/>
          <w:color w:val="000000"/>
          <w:kern w:val="0"/>
          <w:sz w:val="24"/>
          <w:szCs w:val="24"/>
          <w:lang w:eastAsia="en-IN"/>
          <w14:ligatures w14:val="none"/>
        </w:rPr>
        <w:lastRenderedPageBreak/>
        <w:t>Data Quality Index for Commercial and Microfinance Segments by Credit Information Companies</w:t>
      </w:r>
    </w:p>
    <w:p w14:paraId="16235704" w14:textId="77777777" w:rsidR="00C73605" w:rsidRP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C73605">
        <w:rPr>
          <w:rFonts w:ascii="Arial" w:eastAsia="Times New Roman" w:hAnsi="Arial" w:cs="Arial"/>
          <w:color w:val="000000"/>
          <w:kern w:val="0"/>
          <w:sz w:val="20"/>
          <w:szCs w:val="20"/>
          <w:lang w:eastAsia="en-IN"/>
          <w14:ligatures w14:val="none"/>
        </w:rPr>
        <w:t>RBI/2023-24/62</w:t>
      </w:r>
      <w:r w:rsidRPr="00C73605">
        <w:rPr>
          <w:rFonts w:ascii="Arial" w:eastAsia="Times New Roman" w:hAnsi="Arial" w:cs="Arial"/>
          <w:color w:val="000000"/>
          <w:kern w:val="0"/>
          <w:sz w:val="20"/>
          <w:szCs w:val="20"/>
          <w:lang w:eastAsia="en-IN"/>
          <w14:ligatures w14:val="none"/>
        </w:rPr>
        <w:br/>
        <w:t>DoR.FIN.REC.39/20.16.056/2023-24</w:t>
      </w:r>
    </w:p>
    <w:p w14:paraId="64CDF62A" w14:textId="77777777" w:rsidR="00C73605" w:rsidRPr="00C73605" w:rsidRDefault="00C73605" w:rsidP="00C73605">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C73605">
        <w:rPr>
          <w:rFonts w:ascii="Arial" w:eastAsia="Times New Roman" w:hAnsi="Arial" w:cs="Arial"/>
          <w:color w:val="000000"/>
          <w:kern w:val="0"/>
          <w:sz w:val="20"/>
          <w:szCs w:val="20"/>
          <w:lang w:eastAsia="en-IN"/>
          <w14:ligatures w14:val="none"/>
        </w:rPr>
        <w:t>September 20, 2023</w:t>
      </w:r>
    </w:p>
    <w:p w14:paraId="4C698E8F" w14:textId="77777777" w:rsidR="00C73605" w:rsidRPr="00C73605" w:rsidRDefault="00C73605" w:rsidP="00C73605">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C73605">
        <w:rPr>
          <w:rFonts w:ascii="Arial" w:eastAsia="Times New Roman" w:hAnsi="Arial" w:cs="Arial"/>
          <w:color w:val="000000"/>
          <w:kern w:val="0"/>
          <w:sz w:val="20"/>
          <w:szCs w:val="20"/>
          <w:lang w:eastAsia="en-IN"/>
          <w14:ligatures w14:val="none"/>
        </w:rPr>
        <w:t>All Commercial Banks (including Small Finance Banks, Local Area Banks and Regional Rural Banks)</w:t>
      </w:r>
      <w:r w:rsidRPr="00C73605">
        <w:rPr>
          <w:rFonts w:ascii="Arial" w:eastAsia="Times New Roman" w:hAnsi="Arial" w:cs="Arial"/>
          <w:color w:val="000000"/>
          <w:kern w:val="0"/>
          <w:sz w:val="20"/>
          <w:szCs w:val="20"/>
          <w:lang w:eastAsia="en-IN"/>
          <w14:ligatures w14:val="none"/>
        </w:rPr>
        <w:br/>
        <w:t>All Primary (Urban) Co-operative Banks/State Co-operative Banks/ Central Co-operative Banks</w:t>
      </w:r>
      <w:r w:rsidRPr="00C73605">
        <w:rPr>
          <w:rFonts w:ascii="Arial" w:eastAsia="Times New Roman" w:hAnsi="Arial" w:cs="Arial"/>
          <w:color w:val="000000"/>
          <w:kern w:val="0"/>
          <w:sz w:val="20"/>
          <w:szCs w:val="20"/>
          <w:lang w:eastAsia="en-IN"/>
          <w14:ligatures w14:val="none"/>
        </w:rPr>
        <w:br/>
        <w:t xml:space="preserve">All-India Financial Institutions (Exim Bank, NABARD, NHB, SIDBI and </w:t>
      </w:r>
      <w:proofErr w:type="spellStart"/>
      <w:r w:rsidRPr="00C73605">
        <w:rPr>
          <w:rFonts w:ascii="Arial" w:eastAsia="Times New Roman" w:hAnsi="Arial" w:cs="Arial"/>
          <w:color w:val="000000"/>
          <w:kern w:val="0"/>
          <w:sz w:val="20"/>
          <w:szCs w:val="20"/>
          <w:lang w:eastAsia="en-IN"/>
          <w14:ligatures w14:val="none"/>
        </w:rPr>
        <w:t>NaBFID</w:t>
      </w:r>
      <w:proofErr w:type="spellEnd"/>
      <w:r w:rsidRPr="00C73605">
        <w:rPr>
          <w:rFonts w:ascii="Arial" w:eastAsia="Times New Roman" w:hAnsi="Arial" w:cs="Arial"/>
          <w:color w:val="000000"/>
          <w:kern w:val="0"/>
          <w:sz w:val="20"/>
          <w:szCs w:val="20"/>
          <w:lang w:eastAsia="en-IN"/>
          <w14:ligatures w14:val="none"/>
        </w:rPr>
        <w:t>)</w:t>
      </w:r>
      <w:r w:rsidRPr="00C73605">
        <w:rPr>
          <w:rFonts w:ascii="Arial" w:eastAsia="Times New Roman" w:hAnsi="Arial" w:cs="Arial"/>
          <w:color w:val="000000"/>
          <w:kern w:val="0"/>
          <w:sz w:val="20"/>
          <w:szCs w:val="20"/>
          <w:lang w:eastAsia="en-IN"/>
          <w14:ligatures w14:val="none"/>
        </w:rPr>
        <w:br/>
        <w:t>All Non-Banking Financial Companies (including Housing Finance Companies)</w:t>
      </w:r>
      <w:r w:rsidRPr="00C73605">
        <w:rPr>
          <w:rFonts w:ascii="Arial" w:eastAsia="Times New Roman" w:hAnsi="Arial" w:cs="Arial"/>
          <w:color w:val="000000"/>
          <w:kern w:val="0"/>
          <w:sz w:val="20"/>
          <w:szCs w:val="20"/>
          <w:lang w:eastAsia="en-IN"/>
          <w14:ligatures w14:val="none"/>
        </w:rPr>
        <w:br/>
        <w:t>All Asset Reconstruction Companies</w:t>
      </w:r>
      <w:r w:rsidRPr="00C73605">
        <w:rPr>
          <w:rFonts w:ascii="Arial" w:eastAsia="Times New Roman" w:hAnsi="Arial" w:cs="Arial"/>
          <w:color w:val="000000"/>
          <w:kern w:val="0"/>
          <w:sz w:val="20"/>
          <w:szCs w:val="20"/>
          <w:lang w:eastAsia="en-IN"/>
          <w14:ligatures w14:val="none"/>
        </w:rPr>
        <w:br/>
        <w:t>All Credit Information Companies</w:t>
      </w:r>
    </w:p>
    <w:p w14:paraId="088EF3F9" w14:textId="77777777" w:rsidR="00C73605" w:rsidRP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C73605">
        <w:rPr>
          <w:rFonts w:ascii="Arial" w:eastAsia="Times New Roman" w:hAnsi="Arial" w:cs="Arial"/>
          <w:color w:val="000000"/>
          <w:kern w:val="0"/>
          <w:sz w:val="20"/>
          <w:szCs w:val="20"/>
          <w:lang w:eastAsia="en-IN"/>
          <w14:ligatures w14:val="none"/>
        </w:rPr>
        <w:t>Dear Sir/ Madam,</w:t>
      </w:r>
    </w:p>
    <w:p w14:paraId="6F3239C6" w14:textId="77777777" w:rsidR="00C73605" w:rsidRPr="00C73605" w:rsidRDefault="00C73605" w:rsidP="00C73605">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C73605">
        <w:rPr>
          <w:rFonts w:ascii="Arial" w:eastAsia="Times New Roman" w:hAnsi="Arial" w:cs="Arial"/>
          <w:b/>
          <w:bCs/>
          <w:color w:val="000000"/>
          <w:kern w:val="0"/>
          <w:sz w:val="20"/>
          <w:szCs w:val="20"/>
          <w:lang w:eastAsia="en-IN"/>
          <w14:ligatures w14:val="none"/>
        </w:rPr>
        <w:t>Data Quality Index for Commercial and Microfinance Segments by Credit Information Companies</w:t>
      </w:r>
    </w:p>
    <w:p w14:paraId="74DF421C" w14:textId="77777777" w:rsidR="00C73605" w:rsidRP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C73605">
        <w:rPr>
          <w:rFonts w:ascii="Arial" w:eastAsia="Times New Roman" w:hAnsi="Arial" w:cs="Arial"/>
          <w:color w:val="000000"/>
          <w:kern w:val="0"/>
          <w:sz w:val="20"/>
          <w:szCs w:val="20"/>
          <w:lang w:eastAsia="en-IN"/>
          <w14:ligatures w14:val="none"/>
        </w:rPr>
        <w:t>Please refer to our </w:t>
      </w:r>
      <w:hyperlink r:id="rId20" w:tgtFrame="_blank" w:history="1">
        <w:r w:rsidRPr="00C73605">
          <w:rPr>
            <w:rFonts w:ascii="Arial" w:eastAsia="Times New Roman" w:hAnsi="Arial" w:cs="Arial"/>
            <w:color w:val="0000FF"/>
            <w:kern w:val="0"/>
            <w:sz w:val="20"/>
            <w:szCs w:val="20"/>
            <w:u w:val="single"/>
            <w:lang w:eastAsia="en-IN"/>
            <w14:ligatures w14:val="none"/>
          </w:rPr>
          <w:t>circular DBOD.No.CID.BC.127/20.16.056/2013-14 dated June 27, 2014</w:t>
        </w:r>
      </w:hyperlink>
      <w:r w:rsidRPr="00C73605">
        <w:rPr>
          <w:rFonts w:ascii="Arial" w:eastAsia="Times New Roman" w:hAnsi="Arial" w:cs="Arial"/>
          <w:color w:val="000000"/>
          <w:kern w:val="0"/>
          <w:sz w:val="20"/>
          <w:szCs w:val="20"/>
          <w:lang w:eastAsia="en-IN"/>
          <w14:ligatures w14:val="none"/>
        </w:rPr>
        <w:t>, inter alia setting out a common Data Quality Index (DQI) for assessing the quality of data submissions by Credit Institutions (CIs) to Credit Information Companies (CICs) and improving the same over a period of time. Currently, the DQI is being used for data submitted under the consumer segment.</w:t>
      </w:r>
    </w:p>
    <w:p w14:paraId="33F81CA4" w14:textId="77777777" w:rsidR="00C73605" w:rsidRP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C73605">
        <w:rPr>
          <w:rFonts w:ascii="Arial" w:eastAsia="Times New Roman" w:hAnsi="Arial" w:cs="Arial"/>
          <w:color w:val="000000"/>
          <w:kern w:val="0"/>
          <w:sz w:val="20"/>
          <w:szCs w:val="20"/>
          <w:lang w:eastAsia="en-IN"/>
          <w14:ligatures w14:val="none"/>
        </w:rPr>
        <w:t>2. With a view to enable further implementation of DQI, it has been decided that CICs shall prepare DQIs for Commercial and Microfinance segments also as per </w:t>
      </w:r>
      <w:hyperlink r:id="rId21" w:tgtFrame="_blank" w:history="1">
        <w:r w:rsidRPr="00C73605">
          <w:rPr>
            <w:rFonts w:ascii="Arial" w:eastAsia="Times New Roman" w:hAnsi="Arial" w:cs="Arial"/>
            <w:color w:val="0000FF"/>
            <w:kern w:val="0"/>
            <w:sz w:val="20"/>
            <w:szCs w:val="20"/>
            <w:u w:val="single"/>
            <w:lang w:eastAsia="en-IN"/>
            <w14:ligatures w14:val="none"/>
          </w:rPr>
          <w:t>Annex I</w:t>
        </w:r>
      </w:hyperlink>
      <w:r w:rsidRPr="00C73605">
        <w:rPr>
          <w:rFonts w:ascii="Arial" w:eastAsia="Times New Roman" w:hAnsi="Arial" w:cs="Arial"/>
          <w:color w:val="000000"/>
          <w:kern w:val="0"/>
          <w:sz w:val="20"/>
          <w:szCs w:val="20"/>
          <w:lang w:eastAsia="en-IN"/>
          <w14:ligatures w14:val="none"/>
        </w:rPr>
        <w:t> and </w:t>
      </w:r>
      <w:hyperlink r:id="rId22" w:tgtFrame="_blank" w:history="1">
        <w:r w:rsidRPr="00C73605">
          <w:rPr>
            <w:rFonts w:ascii="Arial" w:eastAsia="Times New Roman" w:hAnsi="Arial" w:cs="Arial"/>
            <w:color w:val="0000FF"/>
            <w:kern w:val="0"/>
            <w:sz w:val="20"/>
            <w:szCs w:val="20"/>
            <w:u w:val="single"/>
            <w:lang w:eastAsia="en-IN"/>
            <w14:ligatures w14:val="none"/>
          </w:rPr>
          <w:t>II</w:t>
        </w:r>
      </w:hyperlink>
      <w:r w:rsidRPr="00C73605">
        <w:rPr>
          <w:rFonts w:ascii="Arial" w:eastAsia="Times New Roman" w:hAnsi="Arial" w:cs="Arial"/>
          <w:color w:val="000000"/>
          <w:kern w:val="0"/>
          <w:sz w:val="20"/>
          <w:szCs w:val="20"/>
          <w:lang w:eastAsia="en-IN"/>
          <w14:ligatures w14:val="none"/>
        </w:rPr>
        <w:t>, respectively. CICs shall provide the DQIs for Commercial and Microfinance segments to all CIs latest by March 31, 2024.</w:t>
      </w:r>
    </w:p>
    <w:p w14:paraId="506F8BC8" w14:textId="77777777" w:rsidR="00C73605" w:rsidRP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C73605">
        <w:rPr>
          <w:rFonts w:ascii="Arial" w:eastAsia="Times New Roman" w:hAnsi="Arial" w:cs="Arial"/>
          <w:color w:val="000000"/>
          <w:kern w:val="0"/>
          <w:sz w:val="20"/>
          <w:szCs w:val="20"/>
          <w:lang w:eastAsia="en-IN"/>
          <w14:ligatures w14:val="none"/>
        </w:rPr>
        <w:t>3. Further, CICs are advised as under:</w:t>
      </w:r>
    </w:p>
    <w:p w14:paraId="62524714" w14:textId="77777777" w:rsidR="00C73605" w:rsidRPr="00C73605" w:rsidRDefault="00C73605" w:rsidP="00C73605">
      <w:pPr>
        <w:numPr>
          <w:ilvl w:val="0"/>
          <w:numId w:val="4"/>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C73605">
        <w:rPr>
          <w:rFonts w:ascii="Arial" w:eastAsia="Times New Roman" w:hAnsi="Arial" w:cs="Arial"/>
          <w:color w:val="000000"/>
          <w:kern w:val="0"/>
          <w:sz w:val="20"/>
          <w:szCs w:val="20"/>
          <w:lang w:eastAsia="en-IN"/>
          <w14:ligatures w14:val="none"/>
        </w:rPr>
        <w:t>CICs shall provide DQIs for Commercial and Microfinance segments in the form of numeric scores on a monthly basis to all member credit institutions.</w:t>
      </w:r>
    </w:p>
    <w:p w14:paraId="097DB8CA" w14:textId="77777777" w:rsidR="00C73605" w:rsidRPr="00C73605" w:rsidRDefault="00C73605" w:rsidP="00C73605">
      <w:pPr>
        <w:numPr>
          <w:ilvl w:val="0"/>
          <w:numId w:val="4"/>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C73605">
        <w:rPr>
          <w:rFonts w:ascii="Arial" w:eastAsia="Times New Roman" w:hAnsi="Arial" w:cs="Arial"/>
          <w:color w:val="000000"/>
          <w:kern w:val="0"/>
          <w:sz w:val="20"/>
          <w:szCs w:val="20"/>
          <w:lang w:eastAsia="en-IN"/>
          <w14:ligatures w14:val="none"/>
        </w:rPr>
        <w:t>DQI scores for Commercial and Microfinance segments shall be provided at CI and file level. The DQI scores for Commercial and Microfinance segments at CI level shall be computed as weighted average of file level DQI scores of commercial and microfinance segment respectively of that CI.</w:t>
      </w:r>
    </w:p>
    <w:p w14:paraId="3726CDCA" w14:textId="77777777" w:rsidR="00C73605" w:rsidRPr="00C73605" w:rsidRDefault="00C73605" w:rsidP="00C73605">
      <w:pPr>
        <w:numPr>
          <w:ilvl w:val="0"/>
          <w:numId w:val="4"/>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C73605">
        <w:rPr>
          <w:rFonts w:ascii="Arial" w:eastAsia="Times New Roman" w:hAnsi="Arial" w:cs="Arial"/>
          <w:color w:val="000000"/>
          <w:kern w:val="0"/>
          <w:sz w:val="20"/>
          <w:szCs w:val="20"/>
          <w:lang w:eastAsia="en-IN"/>
          <w14:ligatures w14:val="none"/>
        </w:rPr>
        <w:t>CICs shall compute industry level DQIs for each of the three reporting segments</w:t>
      </w:r>
      <w:hyperlink r:id="rId23" w:anchor="FT1" w:history="1">
        <w:r w:rsidRPr="00C73605">
          <w:rPr>
            <w:rFonts w:ascii="Arial" w:eastAsia="Times New Roman" w:hAnsi="Arial" w:cs="Arial"/>
            <w:color w:val="0000FF"/>
            <w:kern w:val="0"/>
            <w:sz w:val="15"/>
            <w:szCs w:val="15"/>
            <w:u w:val="single"/>
            <w:vertAlign w:val="superscript"/>
            <w:lang w:eastAsia="en-IN"/>
            <w14:ligatures w14:val="none"/>
          </w:rPr>
          <w:t>1</w:t>
        </w:r>
      </w:hyperlink>
      <w:r w:rsidRPr="00C73605">
        <w:rPr>
          <w:rFonts w:ascii="Arial" w:eastAsia="Times New Roman" w:hAnsi="Arial" w:cs="Arial"/>
          <w:color w:val="000000"/>
          <w:kern w:val="0"/>
          <w:sz w:val="20"/>
          <w:szCs w:val="20"/>
          <w:lang w:eastAsia="en-IN"/>
          <w14:ligatures w14:val="none"/>
        </w:rPr>
        <w:t> as weighted average of the CI level DQI in their respective category (e.g. Public Sector Banks, Private Sector Banks, Foreign Banks, Co-operative Banks, RRBs, NBFCs etc.) on monthly basis. Further, a half yearly Industry Benchmark shall be calculated as a rolling average of preceding six months Industry level DQI score of respective category of CIs.</w:t>
      </w:r>
    </w:p>
    <w:p w14:paraId="66B17EE5" w14:textId="77777777" w:rsidR="00C73605" w:rsidRPr="00C73605" w:rsidRDefault="00C73605" w:rsidP="00C73605">
      <w:pPr>
        <w:numPr>
          <w:ilvl w:val="0"/>
          <w:numId w:val="4"/>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C73605">
        <w:rPr>
          <w:rFonts w:ascii="Arial" w:eastAsia="Times New Roman" w:hAnsi="Arial" w:cs="Arial"/>
          <w:color w:val="000000"/>
          <w:kern w:val="0"/>
          <w:sz w:val="20"/>
          <w:szCs w:val="20"/>
          <w:lang w:eastAsia="en-IN"/>
          <w14:ligatures w14:val="none"/>
        </w:rPr>
        <w:t>CICs shall provide reasons for decline in score to each CI, if its (a) CI level score has declined over the previous month or (b) CI level score is lower than the half yearly industry benchmark.</w:t>
      </w:r>
    </w:p>
    <w:p w14:paraId="425E0017" w14:textId="77777777" w:rsidR="00C73605" w:rsidRPr="00C73605" w:rsidRDefault="00C73605" w:rsidP="00C73605">
      <w:pPr>
        <w:numPr>
          <w:ilvl w:val="0"/>
          <w:numId w:val="4"/>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C73605">
        <w:rPr>
          <w:rFonts w:ascii="Arial" w:eastAsia="Times New Roman" w:hAnsi="Arial" w:cs="Arial"/>
          <w:color w:val="000000"/>
          <w:kern w:val="0"/>
          <w:sz w:val="20"/>
          <w:szCs w:val="20"/>
          <w:lang w:eastAsia="en-IN"/>
          <w14:ligatures w14:val="none"/>
        </w:rPr>
        <w:t>CICs shall provide monthly data of CI level DQI and industry level DQI of all segments to Department of Supervision, Reserve Bank of India, Central Office at half yearly intervals as on September 30 and March 31 each year, for information and monitoring purposes.</w:t>
      </w:r>
    </w:p>
    <w:p w14:paraId="2B365796" w14:textId="77777777" w:rsidR="00C73605" w:rsidRP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C73605">
        <w:rPr>
          <w:rFonts w:ascii="Arial" w:eastAsia="Times New Roman" w:hAnsi="Arial" w:cs="Arial"/>
          <w:color w:val="000000"/>
          <w:kern w:val="0"/>
          <w:sz w:val="20"/>
          <w:szCs w:val="20"/>
          <w:lang w:eastAsia="en-IN"/>
          <w14:ligatures w14:val="none"/>
        </w:rPr>
        <w:t>4. CIs are advised to undertake half yearly review of the DQI for all segments to improve the quality of the data being submitted to CICs. Corrective steps taken on the above issues along with a report on the same shall be placed before its top management by each CI for review within two months from the end of that half-year.</w:t>
      </w:r>
    </w:p>
    <w:p w14:paraId="5ECAD82D" w14:textId="77777777" w:rsidR="00C73605" w:rsidRP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C73605">
        <w:rPr>
          <w:rFonts w:ascii="Arial" w:eastAsia="Times New Roman" w:hAnsi="Arial" w:cs="Arial"/>
          <w:color w:val="000000"/>
          <w:kern w:val="0"/>
          <w:sz w:val="20"/>
          <w:szCs w:val="20"/>
          <w:lang w:eastAsia="en-IN"/>
          <w14:ligatures w14:val="none"/>
        </w:rPr>
        <w:t>Yours faithfully</w:t>
      </w:r>
    </w:p>
    <w:p w14:paraId="26D42984" w14:textId="77777777" w:rsidR="00C73605" w:rsidRPr="00C73605" w:rsidRDefault="00C73605" w:rsidP="00C73605">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C73605">
        <w:rPr>
          <w:rFonts w:ascii="Arial" w:eastAsia="Times New Roman" w:hAnsi="Arial" w:cs="Arial"/>
          <w:color w:val="000000"/>
          <w:kern w:val="0"/>
          <w:sz w:val="20"/>
          <w:szCs w:val="20"/>
          <w:lang w:eastAsia="en-IN"/>
          <w14:ligatures w14:val="none"/>
        </w:rPr>
        <w:t>(J. P. Sharma)</w:t>
      </w:r>
      <w:r w:rsidRPr="00C73605">
        <w:rPr>
          <w:rFonts w:ascii="Arial" w:eastAsia="Times New Roman" w:hAnsi="Arial" w:cs="Arial"/>
          <w:color w:val="000000"/>
          <w:kern w:val="0"/>
          <w:sz w:val="20"/>
          <w:szCs w:val="20"/>
          <w:lang w:eastAsia="en-IN"/>
          <w14:ligatures w14:val="none"/>
        </w:rPr>
        <w:br/>
        <w:t>Chief General Manager</w:t>
      </w:r>
    </w:p>
    <w:p w14:paraId="34496766" w14:textId="7F10819A"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roofErr w:type="spellStart"/>
      <w:r w:rsidRPr="00C73605">
        <w:rPr>
          <w:rFonts w:ascii="Arial" w:eastAsia="Times New Roman" w:hAnsi="Arial" w:cs="Arial"/>
          <w:color w:val="000000"/>
          <w:kern w:val="0"/>
          <w:sz w:val="20"/>
          <w:szCs w:val="20"/>
          <w:lang w:eastAsia="en-IN"/>
          <w14:ligatures w14:val="none"/>
        </w:rPr>
        <w:lastRenderedPageBreak/>
        <w:t>Encl</w:t>
      </w:r>
      <w:proofErr w:type="spellEnd"/>
      <w:r w:rsidRPr="00C73605">
        <w:rPr>
          <w:rFonts w:ascii="Arial" w:eastAsia="Times New Roman" w:hAnsi="Arial" w:cs="Arial"/>
          <w:color w:val="000000"/>
          <w:kern w:val="0"/>
          <w:sz w:val="20"/>
          <w:szCs w:val="20"/>
          <w:lang w:eastAsia="en-IN"/>
          <w14:ligatures w14:val="none"/>
        </w:rPr>
        <w:t>: Annex I and II</w:t>
      </w:r>
    </w:p>
    <w:p w14:paraId="3748F113" w14:textId="045530C2"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533C478F" w14:textId="629F1C55" w:rsidR="00C73605" w:rsidRDefault="000729E7"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29E7">
        <w:rPr>
          <w:rFonts w:ascii="Arial" w:eastAsia="Times New Roman" w:hAnsi="Arial" w:cs="Arial"/>
          <w:color w:val="000000"/>
          <w:kern w:val="0"/>
          <w:sz w:val="20"/>
          <w:szCs w:val="20"/>
          <w:lang w:eastAsia="en-IN"/>
          <w14:ligatures w14:val="none"/>
        </w:rPr>
        <w:t>For more details, Kindly refer:</w:t>
      </w:r>
    </w:p>
    <w:p w14:paraId="639F41C2" w14:textId="0C018A66"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hyperlink r:id="rId24" w:history="1">
        <w:r w:rsidRPr="00FC240A">
          <w:rPr>
            <w:rStyle w:val="Hyperlink"/>
            <w:rFonts w:ascii="Arial" w:eastAsia="Times New Roman" w:hAnsi="Arial" w:cs="Arial"/>
            <w:kern w:val="0"/>
            <w:sz w:val="20"/>
            <w:szCs w:val="20"/>
            <w:lang w:eastAsia="en-IN"/>
            <w14:ligatures w14:val="none"/>
          </w:rPr>
          <w:t>https://rbi.org.in/Scripts/NotificationUser.aspx?Id=12537&amp;Mode=0</w:t>
        </w:r>
      </w:hyperlink>
    </w:p>
    <w:p w14:paraId="63EB6153" w14:textId="3227311D"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2493F902" w14:textId="5BC4828A"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1CD0C68C" w14:textId="105D973E"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717FE9B5" w14:textId="5335A9D5"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4CC12B91" w14:textId="29B135B0"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0E657CE1" w14:textId="66747257"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1C537310" w14:textId="4871DF2A"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538B2A7E" w14:textId="1CEA149E"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5B25BA01" w14:textId="515D9294"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0DCD05EB" w14:textId="0D68CD29"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089347A2" w14:textId="152FCC00"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65B1CDAD" w14:textId="712C5018"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4C099849" w14:textId="27241431"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2E277651" w14:textId="3AF2C516"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0E7FB7A9" w14:textId="54B579A1"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5107E7E9" w14:textId="3758A7FE"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5F3186A6" w14:textId="0A07842C"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5D6634BE" w14:textId="35025609"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35AB5829" w14:textId="0961DBEA"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0A3E4A45" w14:textId="12B3FDA1"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1E15C4AF" w14:textId="44273415"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2F05E08C" w14:textId="0F842950"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5F3D10C7" w14:textId="1D1C4200"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601CB62A" w14:textId="500B928B" w:rsidR="00C73605" w:rsidRDefault="00C73605" w:rsidP="00C73605">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r w:rsidRPr="00C73605">
        <w:rPr>
          <w:rFonts w:eastAsia="Times New Roman" w:cstheme="minorHAnsi"/>
          <w:b/>
          <w:color w:val="000000"/>
          <w:kern w:val="0"/>
          <w:sz w:val="24"/>
          <w:szCs w:val="24"/>
          <w:lang w:eastAsia="en-IN"/>
          <w14:ligatures w14:val="none"/>
        </w:rPr>
        <w:lastRenderedPageBreak/>
        <w:t>Display of information - Secured assets possessed under the SARFAESI Act, 2002</w:t>
      </w:r>
    </w:p>
    <w:p w14:paraId="6C58813C" w14:textId="77777777" w:rsidR="00C73605" w:rsidRP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C73605">
        <w:rPr>
          <w:rFonts w:ascii="Arial" w:eastAsia="Times New Roman" w:hAnsi="Arial" w:cs="Arial"/>
          <w:color w:val="000000"/>
          <w:kern w:val="0"/>
          <w:sz w:val="20"/>
          <w:szCs w:val="20"/>
          <w:lang w:eastAsia="en-IN"/>
          <w14:ligatures w14:val="none"/>
        </w:rPr>
        <w:t>RBI/2023-24/63</w:t>
      </w:r>
      <w:r w:rsidRPr="00C73605">
        <w:rPr>
          <w:rFonts w:ascii="Arial" w:eastAsia="Times New Roman" w:hAnsi="Arial" w:cs="Arial"/>
          <w:color w:val="000000"/>
          <w:kern w:val="0"/>
          <w:sz w:val="20"/>
          <w:szCs w:val="20"/>
          <w:lang w:eastAsia="en-IN"/>
          <w14:ligatures w14:val="none"/>
        </w:rPr>
        <w:br/>
        <w:t>DoR.FIN.REC.41/20.16.003/2023-24</w:t>
      </w:r>
    </w:p>
    <w:p w14:paraId="1A62C8CB" w14:textId="77777777" w:rsidR="00C73605" w:rsidRPr="00C73605" w:rsidRDefault="00C73605" w:rsidP="00C73605">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C73605">
        <w:rPr>
          <w:rFonts w:ascii="Arial" w:eastAsia="Times New Roman" w:hAnsi="Arial" w:cs="Arial"/>
          <w:color w:val="000000"/>
          <w:kern w:val="0"/>
          <w:sz w:val="20"/>
          <w:szCs w:val="20"/>
          <w:lang w:eastAsia="en-IN"/>
          <w14:ligatures w14:val="none"/>
        </w:rPr>
        <w:t>September 25, 2023</w:t>
      </w:r>
    </w:p>
    <w:p w14:paraId="5ABDE019" w14:textId="77777777" w:rsidR="00C73605" w:rsidRPr="00C73605" w:rsidRDefault="00C73605" w:rsidP="00C73605">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C73605">
        <w:rPr>
          <w:rFonts w:ascii="Arial" w:eastAsia="Times New Roman" w:hAnsi="Arial" w:cs="Arial"/>
          <w:color w:val="000000"/>
          <w:kern w:val="0"/>
          <w:sz w:val="20"/>
          <w:szCs w:val="20"/>
          <w:lang w:eastAsia="en-IN"/>
          <w14:ligatures w14:val="none"/>
        </w:rPr>
        <w:t>All Commercial Banks including Small Finance Banks, Local Area Banks and Regional Rural Banks and excluding Payment Banks</w:t>
      </w:r>
      <w:r w:rsidRPr="00C73605">
        <w:rPr>
          <w:rFonts w:ascii="Arial" w:eastAsia="Times New Roman" w:hAnsi="Arial" w:cs="Arial"/>
          <w:color w:val="000000"/>
          <w:kern w:val="0"/>
          <w:sz w:val="20"/>
          <w:szCs w:val="20"/>
          <w:lang w:eastAsia="en-IN"/>
          <w14:ligatures w14:val="none"/>
        </w:rPr>
        <w:br/>
        <w:t>All Primary (Urban) Co-operative Banks/ State Co-operative Banks/ Central Co-operative Banks</w:t>
      </w:r>
      <w:r w:rsidRPr="00C73605">
        <w:rPr>
          <w:rFonts w:ascii="Arial" w:eastAsia="Times New Roman" w:hAnsi="Arial" w:cs="Arial"/>
          <w:color w:val="000000"/>
          <w:kern w:val="0"/>
          <w:sz w:val="20"/>
          <w:szCs w:val="20"/>
          <w:lang w:eastAsia="en-IN"/>
          <w14:ligatures w14:val="none"/>
        </w:rPr>
        <w:br/>
        <w:t xml:space="preserve">All India Financial Institutions (Exim Bank, NABARD, NHB, SIDBI and </w:t>
      </w:r>
      <w:proofErr w:type="spellStart"/>
      <w:r w:rsidRPr="00C73605">
        <w:rPr>
          <w:rFonts w:ascii="Arial" w:eastAsia="Times New Roman" w:hAnsi="Arial" w:cs="Arial"/>
          <w:color w:val="000000"/>
          <w:kern w:val="0"/>
          <w:sz w:val="20"/>
          <w:szCs w:val="20"/>
          <w:lang w:eastAsia="en-IN"/>
          <w14:ligatures w14:val="none"/>
        </w:rPr>
        <w:t>NaBFID</w:t>
      </w:r>
      <w:proofErr w:type="spellEnd"/>
      <w:r w:rsidRPr="00C73605">
        <w:rPr>
          <w:rFonts w:ascii="Arial" w:eastAsia="Times New Roman" w:hAnsi="Arial" w:cs="Arial"/>
          <w:color w:val="000000"/>
          <w:kern w:val="0"/>
          <w:sz w:val="20"/>
          <w:szCs w:val="20"/>
          <w:lang w:eastAsia="en-IN"/>
          <w14:ligatures w14:val="none"/>
        </w:rPr>
        <w:t>)</w:t>
      </w:r>
      <w:r w:rsidRPr="00C73605">
        <w:rPr>
          <w:rFonts w:ascii="Arial" w:eastAsia="Times New Roman" w:hAnsi="Arial" w:cs="Arial"/>
          <w:color w:val="000000"/>
          <w:kern w:val="0"/>
          <w:sz w:val="20"/>
          <w:szCs w:val="20"/>
          <w:lang w:eastAsia="en-IN"/>
          <w14:ligatures w14:val="none"/>
        </w:rPr>
        <w:br/>
        <w:t>All Non-Banking Financial Companies including Housing Finance Companies</w:t>
      </w:r>
      <w:r w:rsidRPr="00C73605">
        <w:rPr>
          <w:rFonts w:ascii="Arial" w:eastAsia="Times New Roman" w:hAnsi="Arial" w:cs="Arial"/>
          <w:color w:val="000000"/>
          <w:kern w:val="0"/>
          <w:sz w:val="20"/>
          <w:szCs w:val="20"/>
          <w:lang w:eastAsia="en-IN"/>
          <w14:ligatures w14:val="none"/>
        </w:rPr>
        <w:br/>
        <w:t>All Asset Reconstruction Companies</w:t>
      </w:r>
    </w:p>
    <w:p w14:paraId="414AFC71" w14:textId="77777777" w:rsidR="00C73605" w:rsidRP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C73605">
        <w:rPr>
          <w:rFonts w:ascii="Arial" w:eastAsia="Times New Roman" w:hAnsi="Arial" w:cs="Arial"/>
          <w:color w:val="000000"/>
          <w:kern w:val="0"/>
          <w:sz w:val="20"/>
          <w:szCs w:val="20"/>
          <w:lang w:eastAsia="en-IN"/>
          <w14:ligatures w14:val="none"/>
        </w:rPr>
        <w:t>Dear Sir/ Madam</w:t>
      </w:r>
    </w:p>
    <w:p w14:paraId="74C36153" w14:textId="77777777" w:rsidR="00C73605" w:rsidRPr="00C73605" w:rsidRDefault="00C73605" w:rsidP="00C73605">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C73605">
        <w:rPr>
          <w:rFonts w:ascii="Arial" w:eastAsia="Times New Roman" w:hAnsi="Arial" w:cs="Arial"/>
          <w:b/>
          <w:bCs/>
          <w:color w:val="000000"/>
          <w:kern w:val="0"/>
          <w:sz w:val="20"/>
          <w:szCs w:val="20"/>
          <w:lang w:eastAsia="en-IN"/>
          <w14:ligatures w14:val="none"/>
        </w:rPr>
        <w:t>Display of information - Secured assets possessed under the SARFAESI Act, 2002</w:t>
      </w:r>
    </w:p>
    <w:p w14:paraId="0679AB09" w14:textId="77777777" w:rsidR="00C73605" w:rsidRP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C73605">
        <w:rPr>
          <w:rFonts w:ascii="Arial" w:eastAsia="Times New Roman" w:hAnsi="Arial" w:cs="Arial"/>
          <w:color w:val="000000"/>
          <w:kern w:val="0"/>
          <w:sz w:val="20"/>
          <w:szCs w:val="20"/>
          <w:lang w:eastAsia="en-IN"/>
          <w14:ligatures w14:val="none"/>
        </w:rPr>
        <w:t>As a part of the move towards greater transparency, it has been decided that the Regulated Entities (REs) of the Reserve Bank which are secured creditors as per the Securitisation and Reconstruction of Financial Assets and Enforcement of Security Interest (SARFAESI) Act, 2002, shall display information in respect of the borrowers whose secured assets have been taken into possession by the REs under the Act.</w:t>
      </w:r>
    </w:p>
    <w:p w14:paraId="04A331BE" w14:textId="77777777" w:rsidR="00C73605" w:rsidRP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C73605">
        <w:rPr>
          <w:rFonts w:ascii="Arial" w:eastAsia="Times New Roman" w:hAnsi="Arial" w:cs="Arial"/>
          <w:color w:val="000000"/>
          <w:kern w:val="0"/>
          <w:sz w:val="20"/>
          <w:szCs w:val="20"/>
          <w:lang w:eastAsia="en-IN"/>
          <w14:ligatures w14:val="none"/>
        </w:rPr>
        <w:t>2. REs shall upload this information on their website in the format as prescribed in the </w:t>
      </w:r>
      <w:hyperlink r:id="rId25" w:anchor="AN1" w:history="1">
        <w:r w:rsidRPr="00C73605">
          <w:rPr>
            <w:rFonts w:ascii="Arial" w:eastAsia="Times New Roman" w:hAnsi="Arial" w:cs="Arial"/>
            <w:color w:val="0000FF"/>
            <w:kern w:val="0"/>
            <w:sz w:val="20"/>
            <w:szCs w:val="20"/>
            <w:u w:val="single"/>
            <w:lang w:eastAsia="en-IN"/>
            <w14:ligatures w14:val="none"/>
          </w:rPr>
          <w:t>Annex</w:t>
        </w:r>
      </w:hyperlink>
      <w:r w:rsidRPr="00C73605">
        <w:rPr>
          <w:rFonts w:ascii="Arial" w:eastAsia="Times New Roman" w:hAnsi="Arial" w:cs="Arial"/>
          <w:color w:val="000000"/>
          <w:kern w:val="0"/>
          <w:sz w:val="20"/>
          <w:szCs w:val="20"/>
          <w:lang w:eastAsia="en-IN"/>
          <w14:ligatures w14:val="none"/>
        </w:rPr>
        <w:t>. The first such list shall be displayed on the website of REs within six (6) months from the date of this circular, and the list shall be updated on monthly basis.</w:t>
      </w:r>
    </w:p>
    <w:p w14:paraId="03B805B7" w14:textId="77777777" w:rsidR="00C73605" w:rsidRP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C73605">
        <w:rPr>
          <w:rFonts w:ascii="Arial" w:eastAsia="Times New Roman" w:hAnsi="Arial" w:cs="Arial"/>
          <w:color w:val="000000"/>
          <w:kern w:val="0"/>
          <w:sz w:val="20"/>
          <w:szCs w:val="20"/>
          <w:lang w:eastAsia="en-IN"/>
          <w14:ligatures w14:val="none"/>
        </w:rPr>
        <w:t>Yours faithfully,</w:t>
      </w:r>
    </w:p>
    <w:p w14:paraId="45C00017" w14:textId="77777777" w:rsidR="00C73605" w:rsidRPr="00C73605" w:rsidRDefault="00C73605" w:rsidP="00076F7E">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C73605">
        <w:rPr>
          <w:rFonts w:ascii="Arial" w:eastAsia="Times New Roman" w:hAnsi="Arial" w:cs="Arial"/>
          <w:color w:val="000000"/>
          <w:kern w:val="0"/>
          <w:sz w:val="20"/>
          <w:szCs w:val="20"/>
          <w:lang w:eastAsia="en-IN"/>
          <w14:ligatures w14:val="none"/>
        </w:rPr>
        <w:t>(J.P. Sharma)</w:t>
      </w:r>
      <w:r w:rsidRPr="00C73605">
        <w:rPr>
          <w:rFonts w:ascii="Arial" w:eastAsia="Times New Roman" w:hAnsi="Arial" w:cs="Arial"/>
          <w:color w:val="000000"/>
          <w:kern w:val="0"/>
          <w:sz w:val="20"/>
          <w:szCs w:val="20"/>
          <w:lang w:eastAsia="en-IN"/>
          <w14:ligatures w14:val="none"/>
        </w:rPr>
        <w:br/>
        <w:t>Chief General Manager</w:t>
      </w:r>
    </w:p>
    <w:p w14:paraId="71D05E8D" w14:textId="7C4D8F92" w:rsidR="00C73605" w:rsidRDefault="00C73605"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roofErr w:type="spellStart"/>
      <w:r w:rsidRPr="00C73605">
        <w:rPr>
          <w:rFonts w:ascii="Arial" w:eastAsia="Times New Roman" w:hAnsi="Arial" w:cs="Arial"/>
          <w:color w:val="000000"/>
          <w:kern w:val="0"/>
          <w:sz w:val="20"/>
          <w:szCs w:val="20"/>
          <w:lang w:eastAsia="en-IN"/>
          <w14:ligatures w14:val="none"/>
        </w:rPr>
        <w:t>Encl</w:t>
      </w:r>
      <w:proofErr w:type="spellEnd"/>
      <w:r w:rsidRPr="00C73605">
        <w:rPr>
          <w:rFonts w:ascii="Arial" w:eastAsia="Times New Roman" w:hAnsi="Arial" w:cs="Arial"/>
          <w:color w:val="000000"/>
          <w:kern w:val="0"/>
          <w:sz w:val="20"/>
          <w:szCs w:val="20"/>
          <w:lang w:eastAsia="en-IN"/>
          <w14:ligatures w14:val="none"/>
        </w:rPr>
        <w:t>: Annex</w:t>
      </w:r>
    </w:p>
    <w:p w14:paraId="4689D657" w14:textId="30F09CA6" w:rsidR="00076F7E" w:rsidRDefault="00076F7E"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19B66C5E" w14:textId="5D23440B" w:rsidR="00076F7E" w:rsidRDefault="000729E7"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29E7">
        <w:rPr>
          <w:rFonts w:ascii="Arial" w:eastAsia="Times New Roman" w:hAnsi="Arial" w:cs="Arial"/>
          <w:color w:val="000000"/>
          <w:kern w:val="0"/>
          <w:sz w:val="20"/>
          <w:szCs w:val="20"/>
          <w:lang w:eastAsia="en-IN"/>
          <w14:ligatures w14:val="none"/>
        </w:rPr>
        <w:t>For more details, Kindly refer:</w:t>
      </w:r>
    </w:p>
    <w:p w14:paraId="5EE365D9" w14:textId="5FB69FA9" w:rsidR="00076F7E" w:rsidRDefault="00076F7E"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hyperlink r:id="rId26" w:history="1">
        <w:r w:rsidRPr="00FC240A">
          <w:rPr>
            <w:rStyle w:val="Hyperlink"/>
            <w:rFonts w:ascii="Arial" w:eastAsia="Times New Roman" w:hAnsi="Arial" w:cs="Arial"/>
            <w:kern w:val="0"/>
            <w:sz w:val="20"/>
            <w:szCs w:val="20"/>
            <w:lang w:eastAsia="en-IN"/>
            <w14:ligatures w14:val="none"/>
          </w:rPr>
          <w:t>https://rbi.org.in/Scripts/NotificationUser.aspx?Id=12539&amp;Mode=0</w:t>
        </w:r>
      </w:hyperlink>
    </w:p>
    <w:p w14:paraId="6453876B" w14:textId="7C180523" w:rsidR="00076F7E" w:rsidRDefault="00076F7E"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4089FB63" w14:textId="087DDF8F" w:rsidR="00076F7E" w:rsidRDefault="00076F7E"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5FF61537" w14:textId="7E98B585" w:rsidR="00076F7E" w:rsidRDefault="00076F7E"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4378A7A7" w14:textId="06C480B9" w:rsidR="00076F7E" w:rsidRDefault="00076F7E"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3B8ADE86" w14:textId="59877FB0" w:rsidR="00076F7E" w:rsidRDefault="00076F7E"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3E3A67F1" w14:textId="61B25CB2" w:rsidR="00076F7E" w:rsidRDefault="00076F7E"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5747C574" w14:textId="6530D381" w:rsidR="00076F7E" w:rsidRDefault="00076F7E" w:rsidP="00C7360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1D2EFACB" w14:textId="77D3DF00" w:rsidR="00076F7E" w:rsidRPr="00C73605" w:rsidRDefault="00076F7E" w:rsidP="00C73605">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r w:rsidRPr="00076F7E">
        <w:rPr>
          <w:rFonts w:eastAsia="Times New Roman" w:cstheme="minorHAnsi"/>
          <w:b/>
          <w:color w:val="000000"/>
          <w:kern w:val="0"/>
          <w:sz w:val="24"/>
          <w:szCs w:val="24"/>
          <w:lang w:eastAsia="en-IN"/>
          <w14:ligatures w14:val="none"/>
        </w:rPr>
        <w:lastRenderedPageBreak/>
        <w:t>Prompt Corrective Action (PCA) Framework for Non-Banking Financial Companies (NBFCs) – Extension to Government NBFCs</w:t>
      </w:r>
    </w:p>
    <w:p w14:paraId="28DC8E55"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RBI/2023-24/67</w:t>
      </w:r>
      <w:r w:rsidRPr="00076F7E">
        <w:rPr>
          <w:rFonts w:ascii="Arial" w:eastAsia="Times New Roman" w:hAnsi="Arial" w:cs="Arial"/>
          <w:color w:val="000000"/>
          <w:kern w:val="0"/>
          <w:sz w:val="20"/>
          <w:szCs w:val="20"/>
          <w:lang w:eastAsia="en-IN"/>
          <w14:ligatures w14:val="none"/>
        </w:rPr>
        <w:br/>
        <w:t xml:space="preserve">Ref. </w:t>
      </w:r>
      <w:proofErr w:type="spellStart"/>
      <w:r w:rsidRPr="00076F7E">
        <w:rPr>
          <w:rFonts w:ascii="Arial" w:eastAsia="Times New Roman" w:hAnsi="Arial" w:cs="Arial"/>
          <w:color w:val="000000"/>
          <w:kern w:val="0"/>
          <w:sz w:val="20"/>
          <w:szCs w:val="20"/>
          <w:lang w:eastAsia="en-IN"/>
          <w14:ligatures w14:val="none"/>
        </w:rPr>
        <w:t>No.DoS.CO.PPG</w:t>
      </w:r>
      <w:proofErr w:type="spellEnd"/>
      <w:r w:rsidRPr="00076F7E">
        <w:rPr>
          <w:rFonts w:ascii="Arial" w:eastAsia="Times New Roman" w:hAnsi="Arial" w:cs="Arial"/>
          <w:color w:val="000000"/>
          <w:kern w:val="0"/>
          <w:sz w:val="20"/>
          <w:szCs w:val="20"/>
          <w:lang w:eastAsia="en-IN"/>
          <w14:ligatures w14:val="none"/>
        </w:rPr>
        <w:t>/SEC.05/11.01.005/2023-24</w:t>
      </w:r>
    </w:p>
    <w:p w14:paraId="304D1E55" w14:textId="77777777" w:rsidR="00076F7E" w:rsidRPr="00076F7E" w:rsidRDefault="00076F7E" w:rsidP="00076F7E">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October 10, 2023</w:t>
      </w:r>
    </w:p>
    <w:p w14:paraId="19917959" w14:textId="77777777" w:rsidR="00076F7E" w:rsidRPr="00076F7E" w:rsidRDefault="00076F7E" w:rsidP="00076F7E">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All Deposit Taking Government NBFCs</w:t>
      </w:r>
      <w:r w:rsidRPr="00076F7E">
        <w:rPr>
          <w:rFonts w:ascii="Arial" w:eastAsia="Times New Roman" w:hAnsi="Arial" w:cs="Arial"/>
          <w:color w:val="000000"/>
          <w:kern w:val="0"/>
          <w:sz w:val="20"/>
          <w:szCs w:val="20"/>
          <w:lang w:eastAsia="en-IN"/>
          <w14:ligatures w14:val="none"/>
        </w:rPr>
        <w:br/>
        <w:t>All Non-Deposit Taking Government NBFCs in Middle, Upper and Top Layers</w:t>
      </w:r>
    </w:p>
    <w:p w14:paraId="7CE91655"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Dear Sir / Madam</w:t>
      </w:r>
    </w:p>
    <w:p w14:paraId="150AB444" w14:textId="77777777" w:rsidR="00076F7E" w:rsidRPr="00076F7E" w:rsidRDefault="00076F7E" w:rsidP="00076F7E">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076F7E">
        <w:rPr>
          <w:rFonts w:ascii="Arial" w:eastAsia="Times New Roman" w:hAnsi="Arial" w:cs="Arial"/>
          <w:b/>
          <w:bCs/>
          <w:color w:val="000000"/>
          <w:kern w:val="0"/>
          <w:sz w:val="20"/>
          <w:szCs w:val="20"/>
          <w:lang w:eastAsia="en-IN"/>
          <w14:ligatures w14:val="none"/>
        </w:rPr>
        <w:t>Prompt Corrective Action (PCA) Framework for Non-Banking Financial Companies (NBFCs) – Extension to Government NBFCs</w:t>
      </w:r>
    </w:p>
    <w:p w14:paraId="56B25211"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Reserve Bank of India introduced </w:t>
      </w:r>
      <w:hyperlink r:id="rId27" w:tgtFrame="_blank" w:history="1">
        <w:r w:rsidRPr="00076F7E">
          <w:rPr>
            <w:rFonts w:ascii="Arial" w:eastAsia="Times New Roman" w:hAnsi="Arial" w:cs="Arial"/>
            <w:color w:val="0000FF"/>
            <w:kern w:val="0"/>
            <w:sz w:val="20"/>
            <w:szCs w:val="20"/>
            <w:u w:val="single"/>
            <w:lang w:eastAsia="en-IN"/>
            <w14:ligatures w14:val="none"/>
          </w:rPr>
          <w:t>PCA Framework for NBFCs</w:t>
        </w:r>
      </w:hyperlink>
      <w:r w:rsidRPr="00076F7E">
        <w:rPr>
          <w:rFonts w:ascii="Arial" w:eastAsia="Times New Roman" w:hAnsi="Arial" w:cs="Arial"/>
          <w:color w:val="000000"/>
          <w:kern w:val="0"/>
          <w:sz w:val="20"/>
          <w:szCs w:val="20"/>
          <w:lang w:eastAsia="en-IN"/>
          <w14:ligatures w14:val="none"/>
        </w:rPr>
        <w:t> on December 14, 2021. The Framework has since been reviewed and it has been decided to extend the same to Government NBFCs (except those in Base Layer) with effect from October 1, 2024, based on the audited financials of the NBFC as on March 31, 2024, or thereafter.</w:t>
      </w:r>
    </w:p>
    <w:p w14:paraId="12034D51"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Yours faithfully,</w:t>
      </w:r>
    </w:p>
    <w:p w14:paraId="23B9C890" w14:textId="294FEF44" w:rsidR="00076F7E" w:rsidRDefault="00076F7E" w:rsidP="00076F7E">
      <w:pPr>
        <w:spacing w:before="100" w:beforeAutospacing="1" w:after="100" w:afterAutospacing="1" w:line="240" w:lineRule="auto"/>
        <w:rPr>
          <w:rFonts w:ascii="Arial" w:eastAsia="Times New Roman" w:hAnsi="Arial" w:cs="Arial"/>
          <w:b/>
          <w:bCs/>
          <w:color w:val="000000"/>
          <w:kern w:val="0"/>
          <w:sz w:val="20"/>
          <w:szCs w:val="20"/>
          <w:lang w:eastAsia="en-IN"/>
          <w14:ligatures w14:val="none"/>
        </w:rPr>
      </w:pPr>
      <w:r w:rsidRPr="00076F7E">
        <w:rPr>
          <w:rFonts w:ascii="Arial" w:eastAsia="Times New Roman" w:hAnsi="Arial" w:cs="Arial"/>
          <w:b/>
          <w:bCs/>
          <w:color w:val="000000"/>
          <w:kern w:val="0"/>
          <w:sz w:val="20"/>
          <w:szCs w:val="20"/>
          <w:lang w:eastAsia="en-IN"/>
          <w14:ligatures w14:val="none"/>
        </w:rPr>
        <w:t>(Tarun Singh)</w:t>
      </w:r>
      <w:r w:rsidRPr="00076F7E">
        <w:rPr>
          <w:rFonts w:ascii="Arial" w:eastAsia="Times New Roman" w:hAnsi="Arial" w:cs="Arial"/>
          <w:b/>
          <w:bCs/>
          <w:color w:val="000000"/>
          <w:kern w:val="0"/>
          <w:sz w:val="20"/>
          <w:szCs w:val="20"/>
          <w:lang w:eastAsia="en-IN"/>
          <w14:ligatures w14:val="none"/>
        </w:rPr>
        <w:br/>
        <w:t>Chief General Manager</w:t>
      </w:r>
    </w:p>
    <w:p w14:paraId="7A9ACAF5" w14:textId="76A73C24" w:rsidR="00076F7E" w:rsidRPr="00CF3A6C" w:rsidRDefault="000729E7" w:rsidP="00076F7E">
      <w:pPr>
        <w:spacing w:before="100" w:beforeAutospacing="1" w:after="100" w:afterAutospacing="1" w:line="240" w:lineRule="auto"/>
        <w:rPr>
          <w:rFonts w:ascii="Arial" w:eastAsia="Times New Roman" w:hAnsi="Arial" w:cs="Arial"/>
          <w:bCs/>
          <w:color w:val="000000"/>
          <w:kern w:val="0"/>
          <w:sz w:val="20"/>
          <w:szCs w:val="20"/>
          <w:lang w:eastAsia="en-IN"/>
          <w14:ligatures w14:val="none"/>
        </w:rPr>
      </w:pPr>
      <w:r w:rsidRPr="00CF3A6C">
        <w:rPr>
          <w:rFonts w:ascii="Arial" w:eastAsia="Times New Roman" w:hAnsi="Arial" w:cs="Arial"/>
          <w:bCs/>
          <w:color w:val="000000"/>
          <w:kern w:val="0"/>
          <w:sz w:val="20"/>
          <w:szCs w:val="20"/>
          <w:lang w:eastAsia="en-IN"/>
          <w14:ligatures w14:val="none"/>
        </w:rPr>
        <w:t>For more details, Kindly refer:</w:t>
      </w:r>
    </w:p>
    <w:p w14:paraId="1C7A8947" w14:textId="65C8E641" w:rsidR="00076F7E" w:rsidRDefault="00076F7E" w:rsidP="00076F7E">
      <w:pPr>
        <w:spacing w:before="100" w:beforeAutospacing="1" w:after="100" w:afterAutospacing="1" w:line="240" w:lineRule="auto"/>
        <w:rPr>
          <w:rFonts w:ascii="Arial" w:eastAsia="Times New Roman" w:hAnsi="Arial" w:cs="Arial"/>
          <w:b/>
          <w:bCs/>
          <w:color w:val="000000"/>
          <w:kern w:val="0"/>
          <w:sz w:val="20"/>
          <w:szCs w:val="20"/>
          <w:lang w:eastAsia="en-IN"/>
          <w14:ligatures w14:val="none"/>
        </w:rPr>
      </w:pPr>
      <w:hyperlink r:id="rId28" w:history="1">
        <w:r w:rsidRPr="00FC240A">
          <w:rPr>
            <w:rStyle w:val="Hyperlink"/>
            <w:rFonts w:ascii="Arial" w:eastAsia="Times New Roman" w:hAnsi="Arial" w:cs="Arial"/>
            <w:b/>
            <w:bCs/>
            <w:kern w:val="0"/>
            <w:sz w:val="20"/>
            <w:szCs w:val="20"/>
            <w:lang w:eastAsia="en-IN"/>
            <w14:ligatures w14:val="none"/>
          </w:rPr>
          <w:t>https://rbi.org.in/Scripts/NotificationUser.aspx?Id=12543&amp;Mode=0</w:t>
        </w:r>
      </w:hyperlink>
    </w:p>
    <w:p w14:paraId="791E29B2" w14:textId="67363124" w:rsidR="00076F7E" w:rsidRDefault="00076F7E" w:rsidP="00076F7E">
      <w:pPr>
        <w:spacing w:before="100" w:beforeAutospacing="1" w:after="100" w:afterAutospacing="1" w:line="240" w:lineRule="auto"/>
        <w:rPr>
          <w:rFonts w:ascii="Arial" w:eastAsia="Times New Roman" w:hAnsi="Arial" w:cs="Arial"/>
          <w:b/>
          <w:bCs/>
          <w:color w:val="000000"/>
          <w:kern w:val="0"/>
          <w:sz w:val="20"/>
          <w:szCs w:val="20"/>
          <w:lang w:eastAsia="en-IN"/>
          <w14:ligatures w14:val="none"/>
        </w:rPr>
      </w:pPr>
    </w:p>
    <w:p w14:paraId="250810A4" w14:textId="41731FE5" w:rsidR="00076F7E" w:rsidRDefault="00076F7E" w:rsidP="00076F7E">
      <w:pPr>
        <w:spacing w:before="100" w:beforeAutospacing="1" w:after="100" w:afterAutospacing="1" w:line="240" w:lineRule="auto"/>
        <w:rPr>
          <w:rFonts w:ascii="Arial" w:eastAsia="Times New Roman" w:hAnsi="Arial" w:cs="Arial"/>
          <w:b/>
          <w:bCs/>
          <w:color w:val="000000"/>
          <w:kern w:val="0"/>
          <w:sz w:val="20"/>
          <w:szCs w:val="20"/>
          <w:lang w:eastAsia="en-IN"/>
          <w14:ligatures w14:val="none"/>
        </w:rPr>
      </w:pPr>
    </w:p>
    <w:p w14:paraId="789B767F" w14:textId="7F1DCBF6" w:rsidR="00076F7E" w:rsidRDefault="00076F7E" w:rsidP="00076F7E">
      <w:pPr>
        <w:spacing w:before="100" w:beforeAutospacing="1" w:after="100" w:afterAutospacing="1" w:line="240" w:lineRule="auto"/>
        <w:rPr>
          <w:rFonts w:ascii="Arial" w:eastAsia="Times New Roman" w:hAnsi="Arial" w:cs="Arial"/>
          <w:b/>
          <w:bCs/>
          <w:color w:val="000000"/>
          <w:kern w:val="0"/>
          <w:sz w:val="20"/>
          <w:szCs w:val="20"/>
          <w:lang w:eastAsia="en-IN"/>
          <w14:ligatures w14:val="none"/>
        </w:rPr>
      </w:pPr>
    </w:p>
    <w:p w14:paraId="352696E0" w14:textId="2476E89E" w:rsidR="00076F7E" w:rsidRDefault="00076F7E" w:rsidP="00076F7E">
      <w:pPr>
        <w:spacing w:before="100" w:beforeAutospacing="1" w:after="100" w:afterAutospacing="1" w:line="240" w:lineRule="auto"/>
        <w:rPr>
          <w:rFonts w:ascii="Arial" w:eastAsia="Times New Roman" w:hAnsi="Arial" w:cs="Arial"/>
          <w:b/>
          <w:bCs/>
          <w:color w:val="000000"/>
          <w:kern w:val="0"/>
          <w:sz w:val="20"/>
          <w:szCs w:val="20"/>
          <w:lang w:eastAsia="en-IN"/>
          <w14:ligatures w14:val="none"/>
        </w:rPr>
      </w:pPr>
    </w:p>
    <w:p w14:paraId="00C6B5B1" w14:textId="6234F4EE" w:rsidR="00076F7E" w:rsidRDefault="00076F7E" w:rsidP="00076F7E">
      <w:pPr>
        <w:spacing w:before="100" w:beforeAutospacing="1" w:after="100" w:afterAutospacing="1" w:line="240" w:lineRule="auto"/>
        <w:rPr>
          <w:rFonts w:ascii="Arial" w:eastAsia="Times New Roman" w:hAnsi="Arial" w:cs="Arial"/>
          <w:b/>
          <w:bCs/>
          <w:color w:val="000000"/>
          <w:kern w:val="0"/>
          <w:sz w:val="20"/>
          <w:szCs w:val="20"/>
          <w:lang w:eastAsia="en-IN"/>
          <w14:ligatures w14:val="none"/>
        </w:rPr>
      </w:pPr>
    </w:p>
    <w:p w14:paraId="24A5400E" w14:textId="7297261C" w:rsidR="00076F7E" w:rsidRDefault="00076F7E" w:rsidP="00076F7E">
      <w:pPr>
        <w:spacing w:before="100" w:beforeAutospacing="1" w:after="100" w:afterAutospacing="1" w:line="240" w:lineRule="auto"/>
        <w:rPr>
          <w:rFonts w:ascii="Arial" w:eastAsia="Times New Roman" w:hAnsi="Arial" w:cs="Arial"/>
          <w:b/>
          <w:bCs/>
          <w:color w:val="000000"/>
          <w:kern w:val="0"/>
          <w:sz w:val="20"/>
          <w:szCs w:val="20"/>
          <w:lang w:eastAsia="en-IN"/>
          <w14:ligatures w14:val="none"/>
        </w:rPr>
      </w:pPr>
    </w:p>
    <w:p w14:paraId="2B9DF5E3" w14:textId="65EEC6BA" w:rsidR="00076F7E" w:rsidRDefault="00076F7E" w:rsidP="00076F7E">
      <w:pPr>
        <w:spacing w:before="100" w:beforeAutospacing="1" w:after="100" w:afterAutospacing="1" w:line="240" w:lineRule="auto"/>
        <w:rPr>
          <w:rFonts w:ascii="Arial" w:eastAsia="Times New Roman" w:hAnsi="Arial" w:cs="Arial"/>
          <w:b/>
          <w:bCs/>
          <w:color w:val="000000"/>
          <w:kern w:val="0"/>
          <w:sz w:val="20"/>
          <w:szCs w:val="20"/>
          <w:lang w:eastAsia="en-IN"/>
          <w14:ligatures w14:val="none"/>
        </w:rPr>
      </w:pPr>
    </w:p>
    <w:p w14:paraId="144AAF6E" w14:textId="1038CAFB" w:rsidR="00076F7E" w:rsidRDefault="00076F7E" w:rsidP="00076F7E">
      <w:pPr>
        <w:spacing w:before="100" w:beforeAutospacing="1" w:after="100" w:afterAutospacing="1" w:line="240" w:lineRule="auto"/>
        <w:rPr>
          <w:rFonts w:ascii="Arial" w:eastAsia="Times New Roman" w:hAnsi="Arial" w:cs="Arial"/>
          <w:b/>
          <w:bCs/>
          <w:color w:val="000000"/>
          <w:kern w:val="0"/>
          <w:sz w:val="20"/>
          <w:szCs w:val="20"/>
          <w:lang w:eastAsia="en-IN"/>
          <w14:ligatures w14:val="none"/>
        </w:rPr>
      </w:pPr>
    </w:p>
    <w:p w14:paraId="6DCFC59D" w14:textId="56DD0E59" w:rsidR="00076F7E" w:rsidRDefault="00076F7E" w:rsidP="00076F7E">
      <w:pPr>
        <w:spacing w:before="100" w:beforeAutospacing="1" w:after="100" w:afterAutospacing="1" w:line="240" w:lineRule="auto"/>
        <w:rPr>
          <w:rFonts w:ascii="Arial" w:eastAsia="Times New Roman" w:hAnsi="Arial" w:cs="Arial"/>
          <w:b/>
          <w:bCs/>
          <w:color w:val="000000"/>
          <w:kern w:val="0"/>
          <w:sz w:val="20"/>
          <w:szCs w:val="20"/>
          <w:lang w:eastAsia="en-IN"/>
          <w14:ligatures w14:val="none"/>
        </w:rPr>
      </w:pPr>
    </w:p>
    <w:p w14:paraId="797C3EFA" w14:textId="2E88E413" w:rsidR="00076F7E" w:rsidRDefault="00076F7E" w:rsidP="00076F7E">
      <w:pPr>
        <w:spacing w:before="100" w:beforeAutospacing="1" w:after="100" w:afterAutospacing="1" w:line="240" w:lineRule="auto"/>
        <w:rPr>
          <w:rFonts w:ascii="Arial" w:eastAsia="Times New Roman" w:hAnsi="Arial" w:cs="Arial"/>
          <w:b/>
          <w:bCs/>
          <w:color w:val="000000"/>
          <w:kern w:val="0"/>
          <w:sz w:val="20"/>
          <w:szCs w:val="20"/>
          <w:lang w:eastAsia="en-IN"/>
          <w14:ligatures w14:val="none"/>
        </w:rPr>
      </w:pPr>
    </w:p>
    <w:p w14:paraId="54A26C11" w14:textId="7618A6BB" w:rsidR="00076F7E" w:rsidRDefault="00076F7E" w:rsidP="00076F7E">
      <w:pPr>
        <w:spacing w:before="100" w:beforeAutospacing="1" w:after="100" w:afterAutospacing="1" w:line="240" w:lineRule="auto"/>
        <w:rPr>
          <w:rFonts w:ascii="Arial" w:eastAsia="Times New Roman" w:hAnsi="Arial" w:cs="Arial"/>
          <w:b/>
          <w:bCs/>
          <w:color w:val="000000"/>
          <w:kern w:val="0"/>
          <w:sz w:val="20"/>
          <w:szCs w:val="20"/>
          <w:lang w:eastAsia="en-IN"/>
          <w14:ligatures w14:val="none"/>
        </w:rPr>
      </w:pPr>
    </w:p>
    <w:p w14:paraId="2AC15CFB" w14:textId="5718C533" w:rsidR="00076F7E" w:rsidRDefault="00076F7E" w:rsidP="00076F7E">
      <w:pPr>
        <w:spacing w:before="100" w:beforeAutospacing="1" w:after="100" w:afterAutospacing="1" w:line="240" w:lineRule="auto"/>
        <w:rPr>
          <w:rFonts w:ascii="Arial" w:eastAsia="Times New Roman" w:hAnsi="Arial" w:cs="Arial"/>
          <w:b/>
          <w:bCs/>
          <w:color w:val="000000"/>
          <w:kern w:val="0"/>
          <w:sz w:val="20"/>
          <w:szCs w:val="20"/>
          <w:lang w:eastAsia="en-IN"/>
          <w14:ligatures w14:val="none"/>
        </w:rPr>
      </w:pPr>
    </w:p>
    <w:p w14:paraId="797CEEAF" w14:textId="434D9A92" w:rsidR="00076F7E" w:rsidRDefault="00076F7E" w:rsidP="00076F7E">
      <w:pPr>
        <w:spacing w:before="100" w:beforeAutospacing="1" w:after="100" w:afterAutospacing="1" w:line="240" w:lineRule="auto"/>
        <w:rPr>
          <w:rFonts w:ascii="Arial" w:eastAsia="Times New Roman" w:hAnsi="Arial" w:cs="Arial"/>
          <w:b/>
          <w:bCs/>
          <w:color w:val="000000"/>
          <w:kern w:val="0"/>
          <w:sz w:val="20"/>
          <w:szCs w:val="20"/>
          <w:lang w:eastAsia="en-IN"/>
          <w14:ligatures w14:val="none"/>
        </w:rPr>
      </w:pPr>
    </w:p>
    <w:p w14:paraId="132F99B3" w14:textId="7C875519" w:rsidR="00076F7E" w:rsidRDefault="00076F7E" w:rsidP="00076F7E">
      <w:pPr>
        <w:spacing w:before="100" w:beforeAutospacing="1" w:after="100" w:afterAutospacing="1" w:line="240" w:lineRule="auto"/>
        <w:rPr>
          <w:rFonts w:ascii="Arial" w:eastAsia="Times New Roman" w:hAnsi="Arial" w:cs="Arial"/>
          <w:b/>
          <w:bCs/>
          <w:color w:val="000000"/>
          <w:kern w:val="0"/>
          <w:sz w:val="20"/>
          <w:szCs w:val="20"/>
          <w:lang w:eastAsia="en-IN"/>
          <w14:ligatures w14:val="none"/>
        </w:rPr>
      </w:pPr>
      <w:r w:rsidRPr="00076F7E">
        <w:rPr>
          <w:rFonts w:ascii="Arial" w:eastAsia="Times New Roman" w:hAnsi="Arial" w:cs="Arial"/>
          <w:b/>
          <w:bCs/>
          <w:color w:val="000000"/>
          <w:kern w:val="0"/>
          <w:sz w:val="20"/>
          <w:szCs w:val="20"/>
          <w:lang w:eastAsia="en-IN"/>
          <w14:ligatures w14:val="none"/>
        </w:rPr>
        <w:lastRenderedPageBreak/>
        <w:t>Amendment to the Master Direction (MD) on KYC</w:t>
      </w:r>
    </w:p>
    <w:p w14:paraId="6AEBAA73"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RBI/2023-24/69</w:t>
      </w:r>
      <w:r w:rsidRPr="00076F7E">
        <w:rPr>
          <w:rFonts w:ascii="Arial" w:eastAsia="Times New Roman" w:hAnsi="Arial" w:cs="Arial"/>
          <w:color w:val="000000"/>
          <w:kern w:val="0"/>
          <w:sz w:val="20"/>
          <w:szCs w:val="20"/>
          <w:lang w:eastAsia="en-IN"/>
          <w14:ligatures w14:val="none"/>
        </w:rPr>
        <w:br/>
        <w:t>DOR.AML.REC.44/14.01.001/2023-24</w:t>
      </w:r>
    </w:p>
    <w:p w14:paraId="6DF6F86F" w14:textId="77777777" w:rsidR="00076F7E" w:rsidRPr="00076F7E" w:rsidRDefault="00076F7E" w:rsidP="00076F7E">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October 17, 2023</w:t>
      </w:r>
    </w:p>
    <w:p w14:paraId="36A5A180" w14:textId="77777777" w:rsidR="00076F7E" w:rsidRPr="00076F7E" w:rsidRDefault="00076F7E" w:rsidP="00076F7E">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The Chairpersons/ CEOs of all the Regulated Entities</w:t>
      </w:r>
    </w:p>
    <w:p w14:paraId="0B3189FD"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Dear Sir / Madam,</w:t>
      </w:r>
    </w:p>
    <w:p w14:paraId="06876443" w14:textId="77777777" w:rsidR="00076F7E" w:rsidRPr="00076F7E" w:rsidRDefault="00076F7E" w:rsidP="00076F7E">
      <w:pPr>
        <w:spacing w:before="100" w:beforeAutospacing="1" w:after="100" w:afterAutospacing="1" w:line="240" w:lineRule="auto"/>
        <w:jc w:val="center"/>
        <w:rPr>
          <w:rFonts w:ascii="Arial" w:eastAsia="Times New Roman" w:hAnsi="Arial" w:cs="Arial"/>
          <w:b/>
          <w:bCs/>
          <w:color w:val="000000"/>
          <w:kern w:val="0"/>
          <w:sz w:val="20"/>
          <w:szCs w:val="20"/>
          <w:lang w:eastAsia="en-IN"/>
          <w14:ligatures w14:val="none"/>
        </w:rPr>
      </w:pPr>
      <w:r w:rsidRPr="00076F7E">
        <w:rPr>
          <w:rFonts w:ascii="Arial" w:eastAsia="Times New Roman" w:hAnsi="Arial" w:cs="Arial"/>
          <w:b/>
          <w:bCs/>
          <w:color w:val="000000"/>
          <w:kern w:val="0"/>
          <w:sz w:val="20"/>
          <w:szCs w:val="20"/>
          <w:lang w:eastAsia="en-IN"/>
          <w14:ligatures w14:val="none"/>
        </w:rPr>
        <w:t>Amendment to the Master Direction (MD) on KYC</w:t>
      </w:r>
    </w:p>
    <w:p w14:paraId="131E1E68"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Please refer to the </w:t>
      </w:r>
      <w:hyperlink r:id="rId29" w:tgtFrame="_blank" w:history="1">
        <w:r w:rsidRPr="00076F7E">
          <w:rPr>
            <w:rFonts w:ascii="Arial" w:eastAsia="Times New Roman" w:hAnsi="Arial" w:cs="Arial"/>
            <w:color w:val="0000FF"/>
            <w:kern w:val="0"/>
            <w:sz w:val="20"/>
            <w:szCs w:val="20"/>
            <w:u w:val="single"/>
            <w:lang w:eastAsia="en-IN"/>
            <w14:ligatures w14:val="none"/>
          </w:rPr>
          <w:t>Master Direction (MD) on KYC dated February 25, 2016</w:t>
        </w:r>
      </w:hyperlink>
      <w:r w:rsidRPr="00076F7E">
        <w:rPr>
          <w:rFonts w:ascii="Arial" w:eastAsia="Times New Roman" w:hAnsi="Arial" w:cs="Arial"/>
          <w:color w:val="000000"/>
          <w:kern w:val="0"/>
          <w:sz w:val="20"/>
          <w:szCs w:val="20"/>
          <w:lang w:eastAsia="en-IN"/>
          <w14:ligatures w14:val="none"/>
        </w:rPr>
        <w:t>, as amended from time to time, in terms of which Regulated Entities (REs) have to undertake Customer Due Diligence (CDD), as per the process laid out therein, for their customers.</w:t>
      </w:r>
    </w:p>
    <w:p w14:paraId="05813AE0"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2. In this regard, on a review, it has been decided to amend the MD on KYC to:</w:t>
      </w:r>
    </w:p>
    <w:p w14:paraId="49BC549A"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(a) Update certain instructions considering amendments to the PML Rules vide Government notifications dated September 4, 2023 and October 17, 2023;</w:t>
      </w:r>
    </w:p>
    <w:p w14:paraId="59067EBF"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(b) Update Annex II of the MD considering the changes to Government of India Order related to Unlawful Activities (Prevention) Act (UAPA), 1967, vide corrigendum dated August 29, 2023;</w:t>
      </w:r>
    </w:p>
    <w:p w14:paraId="69394751"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(c) Update Annex III of the MD by replacing the Government of India Order dated January 30, 2023, related to Weapons of Mass Destruction and their Delivery Systems (Prohibition of Unlawful Activities) Act, 2005 (WMD Act, 2005) with the Government of India Order dated September 1, 2023 (which has been issued by the Government in suppression of the earlier WMD Act Order dated January 30, 2023), on the matter;</w:t>
      </w:r>
    </w:p>
    <w:p w14:paraId="5571D7C6"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(d) Update certain instructions in accordance with the FATF Recommendations;</w:t>
      </w:r>
    </w:p>
    <w:p w14:paraId="0B6FAF9C"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(e) Add a new Section 55A, on FCRA, in the MD on KYC; and</w:t>
      </w:r>
    </w:p>
    <w:p w14:paraId="56B09DA1"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(f) Update certain other instructions post review.</w:t>
      </w:r>
    </w:p>
    <w:p w14:paraId="509C1EE6"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The changes carried out in the MD in this regard are provided in </w:t>
      </w:r>
      <w:hyperlink r:id="rId30" w:tgtFrame="_blank" w:history="1">
        <w:r w:rsidRPr="00076F7E">
          <w:rPr>
            <w:rFonts w:ascii="Arial" w:eastAsia="Times New Roman" w:hAnsi="Arial" w:cs="Arial"/>
            <w:color w:val="0000FF"/>
            <w:kern w:val="0"/>
            <w:sz w:val="20"/>
            <w:szCs w:val="20"/>
            <w:u w:val="single"/>
            <w:lang w:eastAsia="en-IN"/>
            <w14:ligatures w14:val="none"/>
          </w:rPr>
          <w:t>Annexure</w:t>
        </w:r>
      </w:hyperlink>
      <w:r w:rsidRPr="00076F7E">
        <w:rPr>
          <w:rFonts w:ascii="Arial" w:eastAsia="Times New Roman" w:hAnsi="Arial" w:cs="Arial"/>
          <w:color w:val="000000"/>
          <w:kern w:val="0"/>
          <w:sz w:val="20"/>
          <w:szCs w:val="20"/>
          <w:lang w:eastAsia="en-IN"/>
          <w14:ligatures w14:val="none"/>
        </w:rPr>
        <w:t>.</w:t>
      </w:r>
    </w:p>
    <w:p w14:paraId="105A4F99"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3. Accordingly, the relevant Sections of the </w:t>
      </w:r>
      <w:hyperlink r:id="rId31" w:tgtFrame="_blank" w:history="1">
        <w:r w:rsidRPr="00076F7E">
          <w:rPr>
            <w:rFonts w:ascii="Arial" w:eastAsia="Times New Roman" w:hAnsi="Arial" w:cs="Arial"/>
            <w:color w:val="0000FF"/>
            <w:kern w:val="0"/>
            <w:sz w:val="20"/>
            <w:szCs w:val="20"/>
            <w:u w:val="single"/>
            <w:lang w:eastAsia="en-IN"/>
            <w14:ligatures w14:val="none"/>
          </w:rPr>
          <w:t>MD on KYC</w:t>
        </w:r>
      </w:hyperlink>
      <w:r w:rsidRPr="00076F7E">
        <w:rPr>
          <w:rFonts w:ascii="Arial" w:eastAsia="Times New Roman" w:hAnsi="Arial" w:cs="Arial"/>
          <w:color w:val="000000"/>
          <w:kern w:val="0"/>
          <w:sz w:val="20"/>
          <w:szCs w:val="20"/>
          <w:lang w:eastAsia="en-IN"/>
          <w14:ligatures w14:val="none"/>
        </w:rPr>
        <w:t> are hereby amended to reflect the changes furnished in Annexure. The amended provisions in the MD shall come into force with immediate effect.</w:t>
      </w:r>
    </w:p>
    <w:p w14:paraId="73AC6597"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Yours faithfully,</w:t>
      </w:r>
    </w:p>
    <w:p w14:paraId="37C236DC" w14:textId="77777777" w:rsidR="00076F7E" w:rsidRPr="00076F7E" w:rsidRDefault="00076F7E" w:rsidP="00076F7E">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 xml:space="preserve">(Santosh Kumar </w:t>
      </w:r>
      <w:proofErr w:type="spellStart"/>
      <w:r w:rsidRPr="00076F7E">
        <w:rPr>
          <w:rFonts w:ascii="Arial" w:eastAsia="Times New Roman" w:hAnsi="Arial" w:cs="Arial"/>
          <w:color w:val="000000"/>
          <w:kern w:val="0"/>
          <w:sz w:val="20"/>
          <w:szCs w:val="20"/>
          <w:lang w:eastAsia="en-IN"/>
          <w14:ligatures w14:val="none"/>
        </w:rPr>
        <w:t>Panigrahy</w:t>
      </w:r>
      <w:proofErr w:type="spellEnd"/>
      <w:r w:rsidRPr="00076F7E">
        <w:rPr>
          <w:rFonts w:ascii="Arial" w:eastAsia="Times New Roman" w:hAnsi="Arial" w:cs="Arial"/>
          <w:color w:val="000000"/>
          <w:kern w:val="0"/>
          <w:sz w:val="20"/>
          <w:szCs w:val="20"/>
          <w:lang w:eastAsia="en-IN"/>
          <w14:ligatures w14:val="none"/>
        </w:rPr>
        <w:t>)</w:t>
      </w:r>
      <w:r w:rsidRPr="00076F7E">
        <w:rPr>
          <w:rFonts w:ascii="Arial" w:eastAsia="Times New Roman" w:hAnsi="Arial" w:cs="Arial"/>
          <w:color w:val="000000"/>
          <w:kern w:val="0"/>
          <w:sz w:val="20"/>
          <w:szCs w:val="20"/>
          <w:lang w:eastAsia="en-IN"/>
          <w14:ligatures w14:val="none"/>
        </w:rPr>
        <w:br/>
        <w:t>Chief General Manager</w:t>
      </w:r>
    </w:p>
    <w:p w14:paraId="30BF6A11" w14:textId="3A54E757"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roofErr w:type="spellStart"/>
      <w:r w:rsidRPr="00076F7E">
        <w:rPr>
          <w:rFonts w:ascii="Arial" w:eastAsia="Times New Roman" w:hAnsi="Arial" w:cs="Arial"/>
          <w:color w:val="000000"/>
          <w:kern w:val="0"/>
          <w:sz w:val="20"/>
          <w:szCs w:val="20"/>
          <w:lang w:eastAsia="en-IN"/>
          <w14:ligatures w14:val="none"/>
        </w:rPr>
        <w:t>Encl</w:t>
      </w:r>
      <w:proofErr w:type="spellEnd"/>
      <w:r w:rsidRPr="00076F7E">
        <w:rPr>
          <w:rFonts w:ascii="Arial" w:eastAsia="Times New Roman" w:hAnsi="Arial" w:cs="Arial"/>
          <w:color w:val="000000"/>
          <w:kern w:val="0"/>
          <w:sz w:val="20"/>
          <w:szCs w:val="20"/>
          <w:lang w:eastAsia="en-IN"/>
          <w14:ligatures w14:val="none"/>
        </w:rPr>
        <w:t>: As above</w:t>
      </w:r>
    </w:p>
    <w:p w14:paraId="663BD449" w14:textId="40A99076" w:rsidR="00076F7E" w:rsidRDefault="000729E7"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29E7">
        <w:rPr>
          <w:rFonts w:ascii="Arial" w:eastAsia="Times New Roman" w:hAnsi="Arial" w:cs="Arial"/>
          <w:color w:val="000000"/>
          <w:kern w:val="0"/>
          <w:sz w:val="20"/>
          <w:szCs w:val="20"/>
          <w:lang w:eastAsia="en-IN"/>
          <w14:ligatures w14:val="none"/>
        </w:rPr>
        <w:t>For more details, Kindly refer:</w:t>
      </w:r>
    </w:p>
    <w:p w14:paraId="1CB611DB" w14:textId="57712B46"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hyperlink r:id="rId32" w:history="1">
        <w:r w:rsidRPr="00FC240A">
          <w:rPr>
            <w:rStyle w:val="Hyperlink"/>
            <w:rFonts w:ascii="Arial" w:eastAsia="Times New Roman" w:hAnsi="Arial" w:cs="Arial"/>
            <w:kern w:val="0"/>
            <w:sz w:val="20"/>
            <w:szCs w:val="20"/>
            <w:lang w:eastAsia="en-IN"/>
            <w14:ligatures w14:val="none"/>
          </w:rPr>
          <w:t>https://rbi.org.in/Scripts/NotificationUser.aspx?Id=12549&amp;Mode=0</w:t>
        </w:r>
      </w:hyperlink>
    </w:p>
    <w:p w14:paraId="150D4ECB" w14:textId="2B96022F"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34DE922D" w14:textId="43D8F388" w:rsidR="00076F7E" w:rsidRDefault="00076F7E"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r w:rsidRPr="00076F7E">
        <w:rPr>
          <w:rFonts w:eastAsia="Times New Roman" w:cstheme="minorHAnsi"/>
          <w:b/>
          <w:color w:val="000000"/>
          <w:kern w:val="0"/>
          <w:sz w:val="24"/>
          <w:szCs w:val="24"/>
          <w:lang w:eastAsia="en-IN"/>
          <w14:ligatures w14:val="none"/>
        </w:rPr>
        <w:lastRenderedPageBreak/>
        <w:t>Master Direction – Reserve Bank of India (Non-Banking Financial Company – Scale Based Regulation) Directions, 2023 (Updated as on November 10, 2023)</w:t>
      </w:r>
    </w:p>
    <w:p w14:paraId="65419031" w14:textId="77777777" w:rsidR="00076F7E" w:rsidRDefault="00076F7E" w:rsidP="00076F7E">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38CA3789" w14:textId="25CDDA6F" w:rsidR="00076F7E" w:rsidRPr="00076F7E" w:rsidRDefault="00076F7E" w:rsidP="00076F7E">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076F7E">
        <w:rPr>
          <w:rFonts w:ascii="Times New Roman" w:eastAsia="Times New Roman" w:hAnsi="Times New Roman" w:cs="Times New Roman"/>
          <w:kern w:val="0"/>
          <w:sz w:val="24"/>
          <w:szCs w:val="24"/>
          <w:lang w:eastAsia="en-IN"/>
          <w14:ligatures w14:val="none"/>
        </w:rPr>
        <w:t>RBI/</w:t>
      </w:r>
      <w:proofErr w:type="spellStart"/>
      <w:r w:rsidRPr="00076F7E">
        <w:rPr>
          <w:rFonts w:ascii="Times New Roman" w:eastAsia="Times New Roman" w:hAnsi="Times New Roman" w:cs="Times New Roman"/>
          <w:kern w:val="0"/>
          <w:sz w:val="24"/>
          <w:szCs w:val="24"/>
          <w:lang w:eastAsia="en-IN"/>
          <w14:ligatures w14:val="none"/>
        </w:rPr>
        <w:t>DoR</w:t>
      </w:r>
      <w:proofErr w:type="spellEnd"/>
      <w:r w:rsidRPr="00076F7E">
        <w:rPr>
          <w:rFonts w:ascii="Times New Roman" w:eastAsia="Times New Roman" w:hAnsi="Times New Roman" w:cs="Times New Roman"/>
          <w:kern w:val="0"/>
          <w:sz w:val="24"/>
          <w:szCs w:val="24"/>
          <w:lang w:eastAsia="en-IN"/>
          <w14:ligatures w14:val="none"/>
        </w:rPr>
        <w:t>/2023-24/106</w:t>
      </w:r>
      <w:r w:rsidRPr="00076F7E">
        <w:rPr>
          <w:rFonts w:ascii="Times New Roman" w:eastAsia="Times New Roman" w:hAnsi="Times New Roman" w:cs="Times New Roman"/>
          <w:kern w:val="0"/>
          <w:sz w:val="24"/>
          <w:szCs w:val="24"/>
          <w:lang w:eastAsia="en-IN"/>
          <w14:ligatures w14:val="none"/>
        </w:rPr>
        <w:br/>
        <w:t>DoR.FIN.REC.No.45/03.10.119/2023-24</w:t>
      </w:r>
    </w:p>
    <w:p w14:paraId="40C15664" w14:textId="77777777" w:rsidR="00076F7E" w:rsidRPr="00076F7E" w:rsidRDefault="00076F7E" w:rsidP="00076F7E">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076F7E">
        <w:rPr>
          <w:rFonts w:ascii="Times New Roman" w:eastAsia="Times New Roman" w:hAnsi="Times New Roman" w:cs="Times New Roman"/>
          <w:kern w:val="0"/>
          <w:sz w:val="24"/>
          <w:szCs w:val="24"/>
          <w:lang w:eastAsia="en-IN"/>
          <w14:ligatures w14:val="none"/>
        </w:rPr>
        <w:t>October 19, 2023</w:t>
      </w:r>
      <w:r w:rsidRPr="00076F7E">
        <w:rPr>
          <w:rFonts w:ascii="Times New Roman" w:eastAsia="Times New Roman" w:hAnsi="Times New Roman" w:cs="Times New Roman"/>
          <w:kern w:val="0"/>
          <w:sz w:val="24"/>
          <w:szCs w:val="24"/>
          <w:lang w:eastAsia="en-IN"/>
          <w14:ligatures w14:val="none"/>
        </w:rPr>
        <w:br/>
        <w:t>(</w:t>
      </w:r>
      <w:r w:rsidRPr="00076F7E">
        <w:rPr>
          <w:rFonts w:ascii="Times New Roman" w:eastAsia="Times New Roman" w:hAnsi="Times New Roman" w:cs="Times New Roman"/>
          <w:color w:val="008000"/>
          <w:kern w:val="0"/>
          <w:sz w:val="24"/>
          <w:szCs w:val="24"/>
          <w:lang w:eastAsia="en-IN"/>
          <w14:ligatures w14:val="none"/>
        </w:rPr>
        <w:t>Updated as on November 10, 2023</w:t>
      </w:r>
      <w:r w:rsidRPr="00076F7E">
        <w:rPr>
          <w:rFonts w:ascii="Times New Roman" w:eastAsia="Times New Roman" w:hAnsi="Times New Roman" w:cs="Times New Roman"/>
          <w:kern w:val="0"/>
          <w:sz w:val="24"/>
          <w:szCs w:val="24"/>
          <w:lang w:eastAsia="en-IN"/>
          <w14:ligatures w14:val="none"/>
        </w:rPr>
        <w:t>)</w:t>
      </w:r>
    </w:p>
    <w:p w14:paraId="541C0914" w14:textId="77777777" w:rsidR="00076F7E" w:rsidRPr="00076F7E" w:rsidRDefault="00076F7E" w:rsidP="00076F7E">
      <w:pPr>
        <w:spacing w:before="100" w:beforeAutospacing="1" w:after="100" w:afterAutospacing="1" w:line="240" w:lineRule="auto"/>
        <w:jc w:val="both"/>
        <w:rPr>
          <w:rFonts w:ascii="Arial" w:eastAsia="Times New Roman" w:hAnsi="Arial" w:cs="Arial"/>
          <w:b/>
          <w:bCs/>
          <w:kern w:val="0"/>
          <w:sz w:val="24"/>
          <w:szCs w:val="24"/>
          <w:lang w:eastAsia="en-IN"/>
          <w14:ligatures w14:val="none"/>
        </w:rPr>
      </w:pPr>
      <w:r w:rsidRPr="00076F7E">
        <w:rPr>
          <w:rFonts w:ascii="Arial" w:eastAsia="Times New Roman" w:hAnsi="Arial" w:cs="Arial"/>
          <w:b/>
          <w:bCs/>
          <w:kern w:val="0"/>
          <w:sz w:val="24"/>
          <w:szCs w:val="24"/>
          <w:lang w:eastAsia="en-IN"/>
          <w14:ligatures w14:val="none"/>
        </w:rPr>
        <w:t>Master Direction – Reserve Bank of India (Non-Banking Financial Company– Scale Based Regulation) Directions, 2023</w:t>
      </w:r>
    </w:p>
    <w:p w14:paraId="52951A6F" w14:textId="77777777" w:rsidR="00076F7E" w:rsidRPr="00076F7E" w:rsidRDefault="00076F7E" w:rsidP="00076F7E">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076F7E">
        <w:rPr>
          <w:rFonts w:ascii="Times New Roman" w:eastAsia="Times New Roman" w:hAnsi="Times New Roman" w:cs="Times New Roman"/>
          <w:kern w:val="0"/>
          <w:sz w:val="24"/>
          <w:szCs w:val="24"/>
          <w:lang w:eastAsia="en-IN"/>
          <w14:ligatures w14:val="none"/>
        </w:rPr>
        <w:t>The Reserve Bank of India, having considered it necessary in the public interest, and being satisfied that, for the purpose of enabling the Reserve Bank to regulate the financial system to the advantage of the country and to prevent the affairs of any Non-Banking Financial Company from being conducted in a manner detrimental to the interest of investors and depositors or in any manner prejudicial to the interest of such NBFCs, and in exercise of the powers conferred under sections 45JA, 45K, 45L and 45M of the Reserve Bank of India Act, 1934 (Act 2 of 1934) and section 3 read with section 31A and section 6 of the Factoring Regulation Act, 2011 (Act 12 of 2012), hereby issues to every NBFC, in supersession of the </w:t>
      </w:r>
      <w:hyperlink r:id="rId33" w:tgtFrame="_blank" w:history="1">
        <w:r w:rsidRPr="00076F7E">
          <w:rPr>
            <w:rFonts w:ascii="Times New Roman" w:eastAsia="Times New Roman" w:hAnsi="Times New Roman" w:cs="Times New Roman"/>
            <w:color w:val="0000FF"/>
            <w:kern w:val="0"/>
            <w:sz w:val="24"/>
            <w:szCs w:val="24"/>
            <w:u w:val="single"/>
            <w:lang w:eastAsia="en-IN"/>
            <w14:ligatures w14:val="none"/>
          </w:rPr>
          <w:t>Non-Banking Financial Company–Non-Systemically Important Non-Deposit taking (Reserve Bank) Directions, 2016</w:t>
        </w:r>
      </w:hyperlink>
      <w:r w:rsidRPr="00076F7E">
        <w:rPr>
          <w:rFonts w:ascii="Times New Roman" w:eastAsia="Times New Roman" w:hAnsi="Times New Roman" w:cs="Times New Roman"/>
          <w:kern w:val="0"/>
          <w:sz w:val="24"/>
          <w:szCs w:val="24"/>
          <w:lang w:eastAsia="en-IN"/>
          <w14:ligatures w14:val="none"/>
        </w:rPr>
        <w:t> and </w:t>
      </w:r>
      <w:hyperlink r:id="rId34" w:tgtFrame="_blank" w:history="1">
        <w:r w:rsidRPr="00076F7E">
          <w:rPr>
            <w:rFonts w:ascii="Times New Roman" w:eastAsia="Times New Roman" w:hAnsi="Times New Roman" w:cs="Times New Roman"/>
            <w:color w:val="0000FF"/>
            <w:kern w:val="0"/>
            <w:sz w:val="24"/>
            <w:szCs w:val="24"/>
            <w:u w:val="single"/>
            <w:lang w:eastAsia="en-IN"/>
            <w14:ligatures w14:val="none"/>
          </w:rPr>
          <w:t>Non-Banking Financial Company–Systemically Important Non-Deposit taking Company and Deposit taking Company (Reserve Bank) Directions, 2016</w:t>
        </w:r>
      </w:hyperlink>
      <w:r w:rsidRPr="00076F7E">
        <w:rPr>
          <w:rFonts w:ascii="Times New Roman" w:eastAsia="Times New Roman" w:hAnsi="Times New Roman" w:cs="Times New Roman"/>
          <w:kern w:val="0"/>
          <w:sz w:val="24"/>
          <w:szCs w:val="24"/>
          <w:lang w:eastAsia="en-IN"/>
          <w14:ligatures w14:val="none"/>
        </w:rPr>
        <w:t>, Master Direction – Reserve Bank of India (Non-Banking Financial Company – Scale Based Regulation) Directions, 2023 (</w:t>
      </w:r>
      <w:hyperlink r:id="rId35" w:tgtFrame="_blank" w:history="1">
        <w:r w:rsidRPr="00076F7E">
          <w:rPr>
            <w:rFonts w:ascii="Times New Roman" w:eastAsia="Times New Roman" w:hAnsi="Times New Roman" w:cs="Times New Roman"/>
            <w:color w:val="0000FF"/>
            <w:kern w:val="0"/>
            <w:sz w:val="24"/>
            <w:szCs w:val="24"/>
            <w:u w:val="single"/>
            <w:lang w:eastAsia="en-IN"/>
            <w14:ligatures w14:val="none"/>
          </w:rPr>
          <w:t>the Directions</w:t>
        </w:r>
      </w:hyperlink>
      <w:r w:rsidRPr="00076F7E">
        <w:rPr>
          <w:rFonts w:ascii="Times New Roman" w:eastAsia="Times New Roman" w:hAnsi="Times New Roman" w:cs="Times New Roman"/>
          <w:kern w:val="0"/>
          <w:sz w:val="24"/>
          <w:szCs w:val="24"/>
          <w:lang w:eastAsia="en-IN"/>
          <w14:ligatures w14:val="none"/>
        </w:rPr>
        <w:t>), hereinafter specified.</w:t>
      </w:r>
    </w:p>
    <w:p w14:paraId="3D23E9D1" w14:textId="1F4586AA" w:rsidR="00076F7E" w:rsidRDefault="00076F7E" w:rsidP="00076F7E">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076F7E">
        <w:rPr>
          <w:rFonts w:ascii="Times New Roman" w:eastAsia="Times New Roman" w:hAnsi="Times New Roman" w:cs="Times New Roman"/>
          <w:kern w:val="0"/>
          <w:sz w:val="24"/>
          <w:szCs w:val="24"/>
          <w:lang w:eastAsia="en-IN"/>
          <w14:ligatures w14:val="none"/>
        </w:rPr>
        <w:t>(J P Sharma)</w:t>
      </w:r>
      <w:r w:rsidRPr="00076F7E">
        <w:rPr>
          <w:rFonts w:ascii="Times New Roman" w:eastAsia="Times New Roman" w:hAnsi="Times New Roman" w:cs="Times New Roman"/>
          <w:kern w:val="0"/>
          <w:sz w:val="24"/>
          <w:szCs w:val="24"/>
          <w:lang w:eastAsia="en-IN"/>
          <w14:ligatures w14:val="none"/>
        </w:rPr>
        <w:br/>
        <w:t>Chief General Manager</w:t>
      </w:r>
    </w:p>
    <w:p w14:paraId="494BD996" w14:textId="2C0B013F" w:rsidR="00076F7E" w:rsidRPr="00CF3A6C" w:rsidRDefault="000729E7" w:rsidP="00076F7E">
      <w:pPr>
        <w:spacing w:before="100" w:beforeAutospacing="1" w:after="100" w:afterAutospacing="1" w:line="240" w:lineRule="auto"/>
        <w:rPr>
          <w:rFonts w:eastAsia="Times New Roman" w:cstheme="minorHAnsi"/>
          <w:kern w:val="0"/>
          <w:sz w:val="24"/>
          <w:szCs w:val="24"/>
          <w:lang w:eastAsia="en-IN"/>
          <w14:ligatures w14:val="none"/>
        </w:rPr>
      </w:pPr>
      <w:r w:rsidRPr="00CF3A6C">
        <w:rPr>
          <w:rFonts w:eastAsia="Times New Roman" w:cstheme="minorHAnsi"/>
          <w:kern w:val="0"/>
          <w:sz w:val="24"/>
          <w:szCs w:val="24"/>
          <w:lang w:eastAsia="en-IN"/>
          <w14:ligatures w14:val="none"/>
        </w:rPr>
        <w:t>For more details, Kindly refer:</w:t>
      </w:r>
    </w:p>
    <w:p w14:paraId="26F5E164" w14:textId="7284A213" w:rsidR="00076F7E" w:rsidRDefault="00076F7E" w:rsidP="00076F7E">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hyperlink r:id="rId36" w:history="1">
        <w:r w:rsidRPr="00FC240A">
          <w:rPr>
            <w:rStyle w:val="Hyperlink"/>
            <w:rFonts w:ascii="Times New Roman" w:eastAsia="Times New Roman" w:hAnsi="Times New Roman" w:cs="Times New Roman"/>
            <w:kern w:val="0"/>
            <w:sz w:val="24"/>
            <w:szCs w:val="24"/>
            <w:lang w:eastAsia="en-IN"/>
            <w14:ligatures w14:val="none"/>
          </w:rPr>
          <w:t>https://rbi.org.in/Scripts/NotificationUser.aspx?Id=12550&amp;Mode=0</w:t>
        </w:r>
      </w:hyperlink>
    </w:p>
    <w:p w14:paraId="55B9DB2A" w14:textId="654AA817" w:rsidR="00076F7E" w:rsidRDefault="00076F7E" w:rsidP="00076F7E">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7C1F577D" w14:textId="596C4E25" w:rsidR="00076F7E" w:rsidRDefault="00076F7E" w:rsidP="00076F7E">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2AFEC579" w14:textId="0AEA793E" w:rsidR="00076F7E" w:rsidRDefault="00076F7E" w:rsidP="00076F7E">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603A0189" w14:textId="2C59BF96" w:rsidR="00076F7E" w:rsidRDefault="00076F7E" w:rsidP="00076F7E">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0A1796AB" w14:textId="45FBC1F0" w:rsidR="00076F7E" w:rsidRDefault="00076F7E" w:rsidP="00076F7E">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664BE748" w14:textId="08F49FDC" w:rsidR="00076F7E" w:rsidRDefault="00076F7E" w:rsidP="00076F7E">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2BA56136" w14:textId="028F277E" w:rsidR="00076F7E" w:rsidRDefault="00076F7E" w:rsidP="00076F7E">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1BDE5133" w14:textId="0DA7F79C" w:rsidR="00076F7E" w:rsidRDefault="00076F7E" w:rsidP="00076F7E">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7FD2C94D" w14:textId="624F1717" w:rsidR="00076F7E" w:rsidRPr="00076F7E" w:rsidRDefault="00076F7E" w:rsidP="00076F7E">
      <w:pPr>
        <w:spacing w:before="100" w:beforeAutospacing="1" w:after="100" w:afterAutospacing="1" w:line="240" w:lineRule="auto"/>
        <w:jc w:val="both"/>
        <w:rPr>
          <w:rFonts w:eastAsia="Times New Roman" w:cstheme="minorHAnsi"/>
          <w:b/>
          <w:kern w:val="0"/>
          <w:sz w:val="24"/>
          <w:szCs w:val="24"/>
          <w:lang w:eastAsia="en-IN"/>
          <w14:ligatures w14:val="none"/>
        </w:rPr>
      </w:pPr>
      <w:r w:rsidRPr="00076F7E">
        <w:rPr>
          <w:rFonts w:eastAsia="Times New Roman" w:cstheme="minorHAnsi"/>
          <w:b/>
          <w:kern w:val="0"/>
          <w:sz w:val="24"/>
          <w:szCs w:val="24"/>
          <w:lang w:eastAsia="en-IN"/>
          <w14:ligatures w14:val="none"/>
        </w:rPr>
        <w:lastRenderedPageBreak/>
        <w:t>Strengthening of customer service rendered by Credit Information Companies and Credit Institutions</w:t>
      </w:r>
    </w:p>
    <w:p w14:paraId="71363B00"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RBI/2023-24/73</w:t>
      </w:r>
      <w:r w:rsidRPr="00076F7E">
        <w:rPr>
          <w:rFonts w:ascii="Arial" w:eastAsia="Times New Roman" w:hAnsi="Arial" w:cs="Arial"/>
          <w:color w:val="000000"/>
          <w:kern w:val="0"/>
          <w:sz w:val="20"/>
          <w:szCs w:val="20"/>
          <w:lang w:eastAsia="en-IN"/>
          <w14:ligatures w14:val="none"/>
        </w:rPr>
        <w:br/>
        <w:t>DoR.FIN.REC.49/20.16.003/2023-24</w:t>
      </w:r>
    </w:p>
    <w:p w14:paraId="48826922" w14:textId="77777777" w:rsidR="00076F7E" w:rsidRPr="00076F7E" w:rsidRDefault="00076F7E" w:rsidP="00076F7E">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October 26, 2023</w:t>
      </w:r>
    </w:p>
    <w:p w14:paraId="4E081A30" w14:textId="77777777" w:rsidR="00076F7E" w:rsidRPr="00076F7E" w:rsidRDefault="00076F7E" w:rsidP="00076F7E">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All Commercial Banks (including Small Finance Banks, Local Area Banks and Regional Rural Banks, and excluding Payments Banks)</w:t>
      </w:r>
      <w:r w:rsidRPr="00076F7E">
        <w:rPr>
          <w:rFonts w:ascii="Arial" w:eastAsia="Times New Roman" w:hAnsi="Arial" w:cs="Arial"/>
          <w:color w:val="000000"/>
          <w:kern w:val="0"/>
          <w:sz w:val="20"/>
          <w:szCs w:val="20"/>
          <w:lang w:eastAsia="en-IN"/>
          <w14:ligatures w14:val="none"/>
        </w:rPr>
        <w:br/>
        <w:t>All Primary (Urban) Co-operative Banks/ State Co-operative Banks/ Central Co-operative Banks</w:t>
      </w:r>
      <w:r w:rsidRPr="00076F7E">
        <w:rPr>
          <w:rFonts w:ascii="Arial" w:eastAsia="Times New Roman" w:hAnsi="Arial" w:cs="Arial"/>
          <w:color w:val="000000"/>
          <w:kern w:val="0"/>
          <w:sz w:val="20"/>
          <w:szCs w:val="20"/>
          <w:lang w:eastAsia="en-IN"/>
          <w14:ligatures w14:val="none"/>
        </w:rPr>
        <w:br/>
        <w:t>All Non-Banking Financial Companies (including Housing Finance Companies)</w:t>
      </w:r>
      <w:r w:rsidRPr="00076F7E">
        <w:rPr>
          <w:rFonts w:ascii="Arial" w:eastAsia="Times New Roman" w:hAnsi="Arial" w:cs="Arial"/>
          <w:color w:val="000000"/>
          <w:kern w:val="0"/>
          <w:sz w:val="20"/>
          <w:szCs w:val="20"/>
          <w:lang w:eastAsia="en-IN"/>
          <w14:ligatures w14:val="none"/>
        </w:rPr>
        <w:br/>
        <w:t xml:space="preserve">All-India Financial Institutions (Exim Bank, NABARD, NHB, SIDBI and </w:t>
      </w:r>
      <w:proofErr w:type="spellStart"/>
      <w:r w:rsidRPr="00076F7E">
        <w:rPr>
          <w:rFonts w:ascii="Arial" w:eastAsia="Times New Roman" w:hAnsi="Arial" w:cs="Arial"/>
          <w:color w:val="000000"/>
          <w:kern w:val="0"/>
          <w:sz w:val="20"/>
          <w:szCs w:val="20"/>
          <w:lang w:eastAsia="en-IN"/>
          <w14:ligatures w14:val="none"/>
        </w:rPr>
        <w:t>NaBFID</w:t>
      </w:r>
      <w:proofErr w:type="spellEnd"/>
      <w:r w:rsidRPr="00076F7E">
        <w:rPr>
          <w:rFonts w:ascii="Arial" w:eastAsia="Times New Roman" w:hAnsi="Arial" w:cs="Arial"/>
          <w:color w:val="000000"/>
          <w:kern w:val="0"/>
          <w:sz w:val="20"/>
          <w:szCs w:val="20"/>
          <w:lang w:eastAsia="en-IN"/>
          <w14:ligatures w14:val="none"/>
        </w:rPr>
        <w:t>)</w:t>
      </w:r>
      <w:r w:rsidRPr="00076F7E">
        <w:rPr>
          <w:rFonts w:ascii="Arial" w:eastAsia="Times New Roman" w:hAnsi="Arial" w:cs="Arial"/>
          <w:color w:val="000000"/>
          <w:kern w:val="0"/>
          <w:sz w:val="20"/>
          <w:szCs w:val="20"/>
          <w:lang w:eastAsia="en-IN"/>
          <w14:ligatures w14:val="none"/>
        </w:rPr>
        <w:br/>
        <w:t>All Asset Reconstructions Companies</w:t>
      </w:r>
      <w:r w:rsidRPr="00076F7E">
        <w:rPr>
          <w:rFonts w:ascii="Arial" w:eastAsia="Times New Roman" w:hAnsi="Arial" w:cs="Arial"/>
          <w:color w:val="000000"/>
          <w:kern w:val="0"/>
          <w:sz w:val="20"/>
          <w:szCs w:val="20"/>
          <w:lang w:eastAsia="en-IN"/>
          <w14:ligatures w14:val="none"/>
        </w:rPr>
        <w:br/>
        <w:t>All Credit Information Companies</w:t>
      </w:r>
    </w:p>
    <w:p w14:paraId="27E17F4D"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Dear Sir/ Madam</w:t>
      </w:r>
    </w:p>
    <w:p w14:paraId="10DD7AFA" w14:textId="77777777" w:rsidR="00076F7E" w:rsidRPr="00076F7E" w:rsidRDefault="00076F7E" w:rsidP="00076F7E">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076F7E">
        <w:rPr>
          <w:rFonts w:ascii="Arial" w:eastAsia="Times New Roman" w:hAnsi="Arial" w:cs="Arial"/>
          <w:b/>
          <w:bCs/>
          <w:color w:val="000000"/>
          <w:kern w:val="0"/>
          <w:sz w:val="20"/>
          <w:szCs w:val="20"/>
          <w:lang w:eastAsia="en-IN"/>
          <w14:ligatures w14:val="none"/>
        </w:rPr>
        <w:t>Strengthening of customer service rendered by Credit Information Companies and Credit Institutions</w:t>
      </w:r>
    </w:p>
    <w:p w14:paraId="1BC37FAC"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Please refer to para 4 of the </w:t>
      </w:r>
      <w:hyperlink r:id="rId37" w:tgtFrame="_blank" w:history="1">
        <w:r w:rsidRPr="00076F7E">
          <w:rPr>
            <w:rFonts w:ascii="Arial" w:eastAsia="Times New Roman" w:hAnsi="Arial" w:cs="Arial"/>
            <w:color w:val="0000FF"/>
            <w:kern w:val="0"/>
            <w:sz w:val="20"/>
            <w:szCs w:val="20"/>
            <w:u w:val="single"/>
            <w:lang w:eastAsia="en-IN"/>
            <w14:ligatures w14:val="none"/>
          </w:rPr>
          <w:t>Statement on Developmental and Regulatory Policies</w:t>
        </w:r>
      </w:hyperlink>
      <w:r w:rsidRPr="00076F7E">
        <w:rPr>
          <w:rFonts w:ascii="Arial" w:eastAsia="Times New Roman" w:hAnsi="Arial" w:cs="Arial"/>
          <w:color w:val="000000"/>
          <w:kern w:val="0"/>
          <w:sz w:val="20"/>
          <w:szCs w:val="20"/>
          <w:lang w:eastAsia="en-IN"/>
          <w14:ligatures w14:val="none"/>
        </w:rPr>
        <w:t> released with the </w:t>
      </w:r>
      <w:hyperlink r:id="rId38" w:tgtFrame="_blank" w:history="1">
        <w:r w:rsidRPr="00076F7E">
          <w:rPr>
            <w:rFonts w:ascii="Arial" w:eastAsia="Times New Roman" w:hAnsi="Arial" w:cs="Arial"/>
            <w:color w:val="0000FF"/>
            <w:kern w:val="0"/>
            <w:sz w:val="20"/>
            <w:szCs w:val="20"/>
            <w:u w:val="single"/>
            <w:lang w:eastAsia="en-IN"/>
            <w14:ligatures w14:val="none"/>
          </w:rPr>
          <w:t>Bi-monthly Monetary Policy Statement 2023-24 on April 6, 2023</w:t>
        </w:r>
      </w:hyperlink>
      <w:r w:rsidRPr="00076F7E">
        <w:rPr>
          <w:rFonts w:ascii="Arial" w:eastAsia="Times New Roman" w:hAnsi="Arial" w:cs="Arial"/>
          <w:color w:val="000000"/>
          <w:kern w:val="0"/>
          <w:sz w:val="20"/>
          <w:szCs w:val="20"/>
          <w:lang w:eastAsia="en-IN"/>
          <w14:ligatures w14:val="none"/>
        </w:rPr>
        <w:t>, wherein it was announced that a comprehensive framework will be put in place for strengthening and improving the efficacy of the grievance redress mechanism and customer service provided by the Credit Institutions (CIs) and Credit Information Companies (CICs).</w:t>
      </w:r>
    </w:p>
    <w:p w14:paraId="36059B76"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2. Accordingly, in exercise of the powers conferred by sub-section (1) of section 11 of the Credit Information Companies (Regulation) Act, 2005 (CICRA, 2005), the Reserve Bank of India directs CICs and CIs to implement the directions as detailed below:</w:t>
      </w:r>
    </w:p>
    <w:p w14:paraId="1029DDA1"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2.1. </w:t>
      </w:r>
      <w:r w:rsidRPr="00076F7E">
        <w:rPr>
          <w:rFonts w:ascii="Arial" w:eastAsia="Times New Roman" w:hAnsi="Arial" w:cs="Arial"/>
          <w:b/>
          <w:bCs/>
          <w:color w:val="000000"/>
          <w:kern w:val="0"/>
          <w:sz w:val="20"/>
          <w:szCs w:val="20"/>
          <w:lang w:eastAsia="en-IN"/>
          <w14:ligatures w14:val="none"/>
        </w:rPr>
        <w:t>Intimation of access to Credit Information Report and updation of credit information with Credit Information Companies</w:t>
      </w:r>
    </w:p>
    <w:p w14:paraId="31282236" w14:textId="77777777" w:rsidR="00076F7E" w:rsidRPr="00076F7E" w:rsidRDefault="00076F7E" w:rsidP="00076F7E">
      <w:pPr>
        <w:numPr>
          <w:ilvl w:val="0"/>
          <w:numId w:val="5"/>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CICs shall send alerts through SMS/ email to customers when their Credit Information Report (CIR) is accessed by the Specified Users (SUs) as defined in sub-section (l) of section 2 of CICRA, 2005, wherever mobile number/ email ID details of the customers are available. The alerts shall be sent by CICs only when the CIR enquiry reflects in the CIR of the customer.</w:t>
      </w:r>
    </w:p>
    <w:p w14:paraId="6BB53859" w14:textId="77777777" w:rsidR="00076F7E" w:rsidRPr="00076F7E" w:rsidRDefault="00076F7E" w:rsidP="00076F7E">
      <w:pPr>
        <w:numPr>
          <w:ilvl w:val="0"/>
          <w:numId w:val="5"/>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CIs shall send alerts through SMS/ email to customers while submitting information to CICs regarding default/ Days Past Due (DPD) in existing credit facilities, wherever the mobile number/email ID details are available.</w:t>
      </w:r>
    </w:p>
    <w:p w14:paraId="223F9A28" w14:textId="77777777" w:rsidR="00076F7E" w:rsidRPr="00076F7E" w:rsidRDefault="00076F7E" w:rsidP="00076F7E">
      <w:pPr>
        <w:numPr>
          <w:ilvl w:val="0"/>
          <w:numId w:val="5"/>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To enable sending of alerts through SMS/ email, the Uniform Credit Reporting Format for reporting credit information by CIs to CICs has been modified as detailed in </w:t>
      </w:r>
      <w:hyperlink r:id="rId39" w:tgtFrame="_blank" w:history="1">
        <w:r w:rsidRPr="00076F7E">
          <w:rPr>
            <w:rFonts w:ascii="Arial" w:eastAsia="Times New Roman" w:hAnsi="Arial" w:cs="Arial"/>
            <w:color w:val="0000FF"/>
            <w:kern w:val="0"/>
            <w:sz w:val="20"/>
            <w:szCs w:val="20"/>
            <w:u w:val="single"/>
            <w:lang w:eastAsia="en-IN"/>
            <w14:ligatures w14:val="none"/>
          </w:rPr>
          <w:t>Annex</w:t>
        </w:r>
      </w:hyperlink>
      <w:r w:rsidRPr="00076F7E">
        <w:rPr>
          <w:rFonts w:ascii="Arial" w:eastAsia="Times New Roman" w:hAnsi="Arial" w:cs="Arial"/>
          <w:color w:val="000000"/>
          <w:kern w:val="0"/>
          <w:sz w:val="20"/>
          <w:szCs w:val="20"/>
          <w:lang w:eastAsia="en-IN"/>
          <w14:ligatures w14:val="none"/>
        </w:rPr>
        <w:t> (Item 1).</w:t>
      </w:r>
    </w:p>
    <w:p w14:paraId="7D09B2B1" w14:textId="77777777" w:rsidR="00076F7E" w:rsidRPr="00076F7E" w:rsidRDefault="00076F7E" w:rsidP="00076F7E">
      <w:pPr>
        <w:numPr>
          <w:ilvl w:val="0"/>
          <w:numId w:val="5"/>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CIs are advised to organise special awareness campaigns to sensitise their customers about benefits of submission of their mobile numbers/ email IDs.</w:t>
      </w:r>
    </w:p>
    <w:p w14:paraId="7819190C"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2.2. </w:t>
      </w:r>
      <w:r w:rsidRPr="00076F7E">
        <w:rPr>
          <w:rFonts w:ascii="Arial" w:eastAsia="Times New Roman" w:hAnsi="Arial" w:cs="Arial"/>
          <w:b/>
          <w:bCs/>
          <w:color w:val="000000"/>
          <w:kern w:val="0"/>
          <w:sz w:val="20"/>
          <w:szCs w:val="20"/>
          <w:lang w:eastAsia="en-IN"/>
          <w14:ligatures w14:val="none"/>
        </w:rPr>
        <w:t>Setting up of Nodal points/ officials by CIs</w:t>
      </w:r>
    </w:p>
    <w:p w14:paraId="75E2DF29" w14:textId="77777777" w:rsidR="00076F7E" w:rsidRPr="00076F7E" w:rsidRDefault="00076F7E" w:rsidP="00076F7E">
      <w:pPr>
        <w:numPr>
          <w:ilvl w:val="0"/>
          <w:numId w:val="6"/>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CIs shall have a dedicated nodal point/ official of contact for CICs for redress of customer grievances. Details of the nodal point/ official along with email ID and telephone/ mobile number shall be furnished by CIs to CICs.</w:t>
      </w:r>
    </w:p>
    <w:p w14:paraId="1B982733" w14:textId="77777777" w:rsidR="00076F7E" w:rsidRPr="00076F7E" w:rsidRDefault="00076F7E" w:rsidP="00076F7E">
      <w:pPr>
        <w:numPr>
          <w:ilvl w:val="0"/>
          <w:numId w:val="6"/>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CIs shall inform CICs of any changes in the nodal points/ official within five (5) calendar days of such a change.</w:t>
      </w:r>
    </w:p>
    <w:p w14:paraId="37249A62"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2.3. </w:t>
      </w:r>
      <w:r w:rsidRPr="00076F7E">
        <w:rPr>
          <w:rFonts w:ascii="Arial" w:eastAsia="Times New Roman" w:hAnsi="Arial" w:cs="Arial"/>
          <w:b/>
          <w:bCs/>
          <w:color w:val="000000"/>
          <w:kern w:val="0"/>
          <w:sz w:val="20"/>
          <w:szCs w:val="20"/>
          <w:lang w:eastAsia="en-IN"/>
          <w14:ligatures w14:val="none"/>
        </w:rPr>
        <w:t>Root Cause Analysis of the Complaints by CIs</w:t>
      </w:r>
    </w:p>
    <w:p w14:paraId="124366B0" w14:textId="77777777" w:rsidR="00076F7E" w:rsidRPr="00076F7E" w:rsidRDefault="00076F7E" w:rsidP="00076F7E">
      <w:pPr>
        <w:numPr>
          <w:ilvl w:val="0"/>
          <w:numId w:val="7"/>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lastRenderedPageBreak/>
        <w:t>CIs shall undertake Root Cause Analysis (RCA) of the customer grievances at least on a half yearly basis. CIs shall also use, among others, information on data rejected by the CICs and Data Quality Index (DQI) provided by CICs as sources of information for carrying out RCA.</w:t>
      </w:r>
    </w:p>
    <w:p w14:paraId="3EC7338C" w14:textId="77777777" w:rsidR="00076F7E" w:rsidRPr="00076F7E" w:rsidRDefault="00076F7E" w:rsidP="00076F7E">
      <w:pPr>
        <w:numPr>
          <w:ilvl w:val="0"/>
          <w:numId w:val="7"/>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Analysis of the RCA shall be reviewed by the Top Management of CIs, at least, on an annual basis.</w:t>
      </w:r>
    </w:p>
    <w:p w14:paraId="7B1151E1"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2.4. </w:t>
      </w:r>
      <w:r w:rsidRPr="00076F7E">
        <w:rPr>
          <w:rFonts w:ascii="Arial" w:eastAsia="Times New Roman" w:hAnsi="Arial" w:cs="Arial"/>
          <w:b/>
          <w:bCs/>
          <w:color w:val="000000"/>
          <w:kern w:val="0"/>
          <w:sz w:val="20"/>
          <w:szCs w:val="20"/>
          <w:lang w:eastAsia="en-IN"/>
          <w14:ligatures w14:val="none"/>
        </w:rPr>
        <w:t>Reasons for rejection of requests for data correction by CIs</w:t>
      </w:r>
    </w:p>
    <w:p w14:paraId="627F24A4" w14:textId="77777777" w:rsidR="00076F7E" w:rsidRPr="00076F7E" w:rsidRDefault="00076F7E" w:rsidP="00076F7E">
      <w:pPr>
        <w:numPr>
          <w:ilvl w:val="0"/>
          <w:numId w:val="8"/>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CIs shall inform the customers the reasons for the rejection of their request for data correction, if any, to enable such customers to better understand the issues in the CIR.</w:t>
      </w:r>
    </w:p>
    <w:p w14:paraId="42AD83D1" w14:textId="77777777" w:rsidR="00076F7E" w:rsidRPr="00076F7E" w:rsidRDefault="00076F7E" w:rsidP="00076F7E">
      <w:pPr>
        <w:numPr>
          <w:ilvl w:val="0"/>
          <w:numId w:val="8"/>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A list of reasons for rejection of requests shall be circulated by CICs to all CIs. CIs shall use the same while communicating the rejections of the request for data correction made by customers/ CICs during the grievance redress process.</w:t>
      </w:r>
    </w:p>
    <w:p w14:paraId="15A6B368"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2.5. </w:t>
      </w:r>
      <w:r w:rsidRPr="00076F7E">
        <w:rPr>
          <w:rFonts w:ascii="Arial" w:eastAsia="Times New Roman" w:hAnsi="Arial" w:cs="Arial"/>
          <w:b/>
          <w:bCs/>
          <w:color w:val="000000"/>
          <w:kern w:val="0"/>
          <w:sz w:val="20"/>
          <w:szCs w:val="20"/>
          <w:lang w:eastAsia="en-IN"/>
          <w14:ligatures w14:val="none"/>
        </w:rPr>
        <w:t>Periodic review of match logic algorithm by CICs</w:t>
      </w:r>
    </w:p>
    <w:p w14:paraId="373D6563" w14:textId="77777777" w:rsidR="00076F7E" w:rsidRPr="00076F7E" w:rsidRDefault="00076F7E" w:rsidP="00076F7E">
      <w:pPr>
        <w:numPr>
          <w:ilvl w:val="0"/>
          <w:numId w:val="9"/>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CICs shall have a board-approved policy for undertaking periodic review (at least on a half-yearly basis) of the ‘Search &amp; Match’ logic algorithm implemented by them to provide Credit Information Report (CIR) of a borrower.</w:t>
      </w:r>
    </w:p>
    <w:p w14:paraId="4967612E" w14:textId="77777777" w:rsidR="00076F7E" w:rsidRPr="00076F7E" w:rsidRDefault="00076F7E" w:rsidP="00076F7E">
      <w:pPr>
        <w:numPr>
          <w:ilvl w:val="0"/>
          <w:numId w:val="9"/>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Root Cause Analysis (RCA) of the complaints being undertaken by CICs shall be used to identify issues in the existing ‘Search &amp; Match’ logic algorithm.</w:t>
      </w:r>
    </w:p>
    <w:p w14:paraId="1E07EFDD" w14:textId="77777777" w:rsidR="00076F7E" w:rsidRPr="00076F7E" w:rsidRDefault="00076F7E" w:rsidP="00076F7E">
      <w:pPr>
        <w:numPr>
          <w:ilvl w:val="0"/>
          <w:numId w:val="9"/>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Results of the RCA and subsequent changes in the search and match logic shall be placed before the Board of Directors of the CIC for review.</w:t>
      </w:r>
    </w:p>
    <w:p w14:paraId="3189B612"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2.6. </w:t>
      </w:r>
      <w:r w:rsidRPr="00076F7E">
        <w:rPr>
          <w:rFonts w:ascii="Arial" w:eastAsia="Times New Roman" w:hAnsi="Arial" w:cs="Arial"/>
          <w:b/>
          <w:bCs/>
          <w:color w:val="000000"/>
          <w:kern w:val="0"/>
          <w:sz w:val="20"/>
          <w:szCs w:val="20"/>
          <w:lang w:eastAsia="en-IN"/>
          <w14:ligatures w14:val="none"/>
        </w:rPr>
        <w:t>Ingestion of credit information data by CICs</w:t>
      </w:r>
    </w:p>
    <w:p w14:paraId="0B1AA0A4" w14:textId="77777777" w:rsidR="00076F7E" w:rsidRPr="00076F7E" w:rsidRDefault="00076F7E" w:rsidP="00076F7E">
      <w:pPr>
        <w:numPr>
          <w:ilvl w:val="0"/>
          <w:numId w:val="10"/>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CICs shall ingest credit information data received from the Credit Institutions (CIs) as per its data acceptance rules, into their databases within seven (7) calendar days of its receipt from the CIs.</w:t>
      </w:r>
    </w:p>
    <w:p w14:paraId="17916DBA" w14:textId="77777777" w:rsidR="00076F7E" w:rsidRPr="00076F7E" w:rsidRDefault="00076F7E" w:rsidP="00076F7E">
      <w:pPr>
        <w:numPr>
          <w:ilvl w:val="0"/>
          <w:numId w:val="10"/>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In case of data rejection, CICs shall communicate to the concerned CI, regarding rejection of the data with reasons, within seven (7) calendar days of receipt of the data.</w:t>
      </w:r>
    </w:p>
    <w:p w14:paraId="412B2A3F"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2.7. </w:t>
      </w:r>
      <w:r w:rsidRPr="00076F7E">
        <w:rPr>
          <w:rFonts w:ascii="Arial" w:eastAsia="Times New Roman" w:hAnsi="Arial" w:cs="Arial"/>
          <w:b/>
          <w:bCs/>
          <w:color w:val="000000"/>
          <w:kern w:val="0"/>
          <w:sz w:val="20"/>
          <w:szCs w:val="20"/>
          <w:lang w:eastAsia="en-IN"/>
          <w14:ligatures w14:val="none"/>
        </w:rPr>
        <w:t>Disclosure of complaints on credit information reporting by CICs</w:t>
      </w:r>
    </w:p>
    <w:p w14:paraId="30009D23"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CICs shall disclose on their websites, details of complaints registered against them and CIs as per the format given in </w:t>
      </w:r>
      <w:hyperlink r:id="rId40" w:tgtFrame="_blank" w:history="1">
        <w:r w:rsidRPr="00076F7E">
          <w:rPr>
            <w:rFonts w:ascii="Arial" w:eastAsia="Times New Roman" w:hAnsi="Arial" w:cs="Arial"/>
            <w:color w:val="0000FF"/>
            <w:kern w:val="0"/>
            <w:sz w:val="20"/>
            <w:szCs w:val="20"/>
            <w:u w:val="single"/>
            <w:lang w:eastAsia="en-IN"/>
            <w14:ligatures w14:val="none"/>
          </w:rPr>
          <w:t>Annex</w:t>
        </w:r>
      </w:hyperlink>
      <w:r w:rsidRPr="00076F7E">
        <w:rPr>
          <w:rFonts w:ascii="Arial" w:eastAsia="Times New Roman" w:hAnsi="Arial" w:cs="Arial"/>
          <w:color w:val="000000"/>
          <w:kern w:val="0"/>
          <w:sz w:val="20"/>
          <w:szCs w:val="20"/>
          <w:lang w:eastAsia="en-IN"/>
          <w14:ligatures w14:val="none"/>
        </w:rPr>
        <w:t> (Table 1 and 2).</w:t>
      </w:r>
    </w:p>
    <w:p w14:paraId="229910EC"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2.8. </w:t>
      </w:r>
      <w:r w:rsidRPr="00076F7E">
        <w:rPr>
          <w:rFonts w:ascii="Arial" w:eastAsia="Times New Roman" w:hAnsi="Arial" w:cs="Arial"/>
          <w:b/>
          <w:bCs/>
          <w:color w:val="000000"/>
          <w:kern w:val="0"/>
          <w:sz w:val="20"/>
          <w:szCs w:val="20"/>
          <w:lang w:eastAsia="en-IN"/>
          <w14:ligatures w14:val="none"/>
        </w:rPr>
        <w:t>Easy access to Free Full Credit Report for the individuals by CICs</w:t>
      </w:r>
    </w:p>
    <w:p w14:paraId="652AF2F7"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CICs shall provide easy access to Free Full Credit Report</w:t>
      </w:r>
      <w:hyperlink r:id="rId41" w:anchor="FT1" w:history="1">
        <w:r w:rsidRPr="00076F7E">
          <w:rPr>
            <w:rFonts w:ascii="Arial" w:eastAsia="Times New Roman" w:hAnsi="Arial" w:cs="Arial"/>
            <w:color w:val="0000FF"/>
            <w:kern w:val="0"/>
            <w:sz w:val="15"/>
            <w:szCs w:val="15"/>
            <w:u w:val="single"/>
            <w:vertAlign w:val="superscript"/>
            <w:lang w:eastAsia="en-IN"/>
            <w14:ligatures w14:val="none"/>
          </w:rPr>
          <w:t>1</w:t>
        </w:r>
      </w:hyperlink>
      <w:r w:rsidRPr="00076F7E">
        <w:rPr>
          <w:rFonts w:ascii="Arial" w:eastAsia="Times New Roman" w:hAnsi="Arial" w:cs="Arial"/>
          <w:color w:val="000000"/>
          <w:kern w:val="0"/>
          <w:sz w:val="20"/>
          <w:szCs w:val="20"/>
          <w:lang w:eastAsia="en-IN"/>
          <w14:ligatures w14:val="none"/>
        </w:rPr>
        <w:t> (FFCR) including credit score, once in a year (January- December), to individuals whose credit history is available with the CIC by displaying the link prominently on their website (on the Home page itself) so that individuals are able to access their FFCR conveniently.</w:t>
      </w:r>
    </w:p>
    <w:p w14:paraId="3BB7E7A4"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3. The directions shall come into effect six (6) months from the date of this circular. CICs and CIs are directed to put in place necessary systems and processes to implement these directions within this period.</w:t>
      </w:r>
    </w:p>
    <w:p w14:paraId="193E465D"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4. CICs and CIs which contravene or default in adherence to the above directions shall be liable for penal action as per the provisions of CICRA, 2005.</w:t>
      </w:r>
    </w:p>
    <w:p w14:paraId="051E11B7"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Yours faithfully,</w:t>
      </w:r>
    </w:p>
    <w:p w14:paraId="1A63740F" w14:textId="77777777" w:rsidR="00076F7E" w:rsidRDefault="00076F7E" w:rsidP="00076F7E">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 xml:space="preserve">(R. Lakshmi </w:t>
      </w:r>
      <w:proofErr w:type="spellStart"/>
      <w:r w:rsidRPr="00076F7E">
        <w:rPr>
          <w:rFonts w:ascii="Arial" w:eastAsia="Times New Roman" w:hAnsi="Arial" w:cs="Arial"/>
          <w:color w:val="000000"/>
          <w:kern w:val="0"/>
          <w:sz w:val="20"/>
          <w:szCs w:val="20"/>
          <w:lang w:eastAsia="en-IN"/>
          <w14:ligatures w14:val="none"/>
        </w:rPr>
        <w:t>Kanth</w:t>
      </w:r>
      <w:proofErr w:type="spellEnd"/>
      <w:r w:rsidRPr="00076F7E">
        <w:rPr>
          <w:rFonts w:ascii="Arial" w:eastAsia="Times New Roman" w:hAnsi="Arial" w:cs="Arial"/>
          <w:color w:val="000000"/>
          <w:kern w:val="0"/>
          <w:sz w:val="20"/>
          <w:szCs w:val="20"/>
          <w:lang w:eastAsia="en-IN"/>
          <w14:ligatures w14:val="none"/>
        </w:rPr>
        <w:t xml:space="preserve"> Rao)</w:t>
      </w:r>
      <w:r w:rsidRPr="00076F7E">
        <w:rPr>
          <w:rFonts w:ascii="Arial" w:eastAsia="Times New Roman" w:hAnsi="Arial" w:cs="Arial"/>
          <w:color w:val="000000"/>
          <w:kern w:val="0"/>
          <w:sz w:val="20"/>
          <w:szCs w:val="20"/>
          <w:lang w:eastAsia="en-IN"/>
          <w14:ligatures w14:val="none"/>
        </w:rPr>
        <w:br/>
        <w:t>Chief General Manager-in-Charge</w:t>
      </w:r>
    </w:p>
    <w:p w14:paraId="52D20CD3" w14:textId="1D5D2BBB" w:rsidR="00076F7E" w:rsidRDefault="00076F7E" w:rsidP="00076F7E">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Encl. Annex</w:t>
      </w:r>
    </w:p>
    <w:p w14:paraId="5C58843C" w14:textId="77777777" w:rsidR="000729E7" w:rsidRDefault="000729E7"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33200D72" w14:textId="42FF6F2A" w:rsidR="000729E7" w:rsidRDefault="000729E7"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29E7">
        <w:rPr>
          <w:rFonts w:ascii="Arial" w:eastAsia="Times New Roman" w:hAnsi="Arial" w:cs="Arial"/>
          <w:color w:val="000000"/>
          <w:kern w:val="0"/>
          <w:sz w:val="20"/>
          <w:szCs w:val="20"/>
          <w:lang w:eastAsia="en-IN"/>
          <w14:ligatures w14:val="none"/>
        </w:rPr>
        <w:lastRenderedPageBreak/>
        <w:t>For more details, Kindly refer:</w:t>
      </w:r>
    </w:p>
    <w:p w14:paraId="207A477C" w14:textId="3D3B9DC3"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hyperlink r:id="rId42" w:history="1">
        <w:r w:rsidRPr="00FC240A">
          <w:rPr>
            <w:rStyle w:val="Hyperlink"/>
            <w:rFonts w:ascii="Arial" w:eastAsia="Times New Roman" w:hAnsi="Arial" w:cs="Arial"/>
            <w:kern w:val="0"/>
            <w:sz w:val="20"/>
            <w:szCs w:val="20"/>
            <w:lang w:eastAsia="en-IN"/>
            <w14:ligatures w14:val="none"/>
          </w:rPr>
          <w:t>https://rbi.org.in/Scripts/NotificationUser.aspx?Id=12553&amp;Mode=0</w:t>
        </w:r>
      </w:hyperlink>
    </w:p>
    <w:p w14:paraId="082B4FCB" w14:textId="77777777" w:rsidR="000729E7" w:rsidRDefault="000729E7"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3648B3E3" w14:textId="77777777" w:rsidR="000729E7" w:rsidRDefault="000729E7"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4629B72C" w14:textId="77777777" w:rsidR="000729E7" w:rsidRDefault="000729E7"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419318AB" w14:textId="77777777" w:rsidR="000729E7" w:rsidRDefault="000729E7"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2963528B" w14:textId="77777777" w:rsidR="000729E7" w:rsidRDefault="000729E7"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74D7E21F" w14:textId="77777777" w:rsidR="000729E7" w:rsidRDefault="000729E7"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4A1B641A" w14:textId="77777777" w:rsidR="000729E7" w:rsidRDefault="000729E7"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701C11DB" w14:textId="77777777" w:rsidR="000729E7" w:rsidRDefault="000729E7"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30BCA697" w14:textId="77777777" w:rsidR="000729E7" w:rsidRDefault="000729E7"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20AD9C82" w14:textId="77777777" w:rsidR="000729E7" w:rsidRDefault="000729E7"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79E5067C" w14:textId="77777777" w:rsidR="000729E7" w:rsidRDefault="000729E7"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67F356C2" w14:textId="77777777" w:rsidR="000729E7" w:rsidRDefault="000729E7"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2158520E" w14:textId="77777777" w:rsidR="000729E7" w:rsidRDefault="000729E7"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37476EF6" w14:textId="77777777" w:rsidR="000729E7" w:rsidRDefault="000729E7"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12491F8D" w14:textId="77777777" w:rsidR="000729E7" w:rsidRDefault="000729E7"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74303FF4" w14:textId="77777777" w:rsidR="000729E7" w:rsidRDefault="000729E7"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321DE9C4" w14:textId="77777777" w:rsidR="000729E7" w:rsidRDefault="000729E7"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035C1DAC" w14:textId="77777777" w:rsidR="000729E7" w:rsidRDefault="000729E7"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75CC29D0" w14:textId="77777777" w:rsidR="000729E7" w:rsidRDefault="000729E7"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550C9943" w14:textId="77777777" w:rsidR="000729E7" w:rsidRDefault="000729E7"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152F3334" w14:textId="77777777" w:rsidR="000729E7" w:rsidRDefault="000729E7"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03641F6B" w14:textId="77777777" w:rsidR="000729E7" w:rsidRDefault="000729E7"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0ED7C7DF" w14:textId="0F352D0B" w:rsidR="00076F7E" w:rsidRDefault="00076F7E"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r w:rsidRPr="00076F7E">
        <w:rPr>
          <w:rFonts w:eastAsia="Times New Roman" w:cstheme="minorHAnsi"/>
          <w:b/>
          <w:color w:val="000000"/>
          <w:kern w:val="0"/>
          <w:sz w:val="24"/>
          <w:szCs w:val="24"/>
          <w:lang w:eastAsia="en-IN"/>
          <w14:ligatures w14:val="none"/>
        </w:rPr>
        <w:lastRenderedPageBreak/>
        <w:t>Framework for compensation to customers for delayed updation/ rectification of credit information</w:t>
      </w:r>
    </w:p>
    <w:p w14:paraId="0A117797"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RBI/2023-24/72</w:t>
      </w:r>
      <w:r w:rsidRPr="00076F7E">
        <w:rPr>
          <w:rFonts w:ascii="Arial" w:eastAsia="Times New Roman" w:hAnsi="Arial" w:cs="Arial"/>
          <w:color w:val="000000"/>
          <w:kern w:val="0"/>
          <w:sz w:val="20"/>
          <w:szCs w:val="20"/>
          <w:lang w:eastAsia="en-IN"/>
          <w14:ligatures w14:val="none"/>
        </w:rPr>
        <w:br/>
        <w:t>DoR.FIN.REC.48/20.16.003/2023-24</w:t>
      </w:r>
    </w:p>
    <w:p w14:paraId="5B25813E" w14:textId="77777777" w:rsidR="00076F7E" w:rsidRPr="00076F7E" w:rsidRDefault="00076F7E" w:rsidP="00076F7E">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October 26, 2023</w:t>
      </w:r>
    </w:p>
    <w:p w14:paraId="48DC19DD" w14:textId="77777777" w:rsidR="00076F7E" w:rsidRPr="00076F7E" w:rsidRDefault="00076F7E" w:rsidP="00076F7E">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All Commercial Banks (including Small Finance Banks, Local Area Banks and Regional Rural Banks, and excluding Payments Banks)</w:t>
      </w:r>
      <w:r w:rsidRPr="00076F7E">
        <w:rPr>
          <w:rFonts w:ascii="Arial" w:eastAsia="Times New Roman" w:hAnsi="Arial" w:cs="Arial"/>
          <w:color w:val="000000"/>
          <w:kern w:val="0"/>
          <w:sz w:val="20"/>
          <w:szCs w:val="20"/>
          <w:lang w:eastAsia="en-IN"/>
          <w14:ligatures w14:val="none"/>
        </w:rPr>
        <w:br/>
        <w:t>All Primary (Urban) Co-operative Banks/ State Co-operative Banks/ Central Co-operative Banks</w:t>
      </w:r>
      <w:r w:rsidRPr="00076F7E">
        <w:rPr>
          <w:rFonts w:ascii="Arial" w:eastAsia="Times New Roman" w:hAnsi="Arial" w:cs="Arial"/>
          <w:color w:val="000000"/>
          <w:kern w:val="0"/>
          <w:sz w:val="20"/>
          <w:szCs w:val="20"/>
          <w:lang w:eastAsia="en-IN"/>
          <w14:ligatures w14:val="none"/>
        </w:rPr>
        <w:br/>
        <w:t>All Non-Banking Financial Companies (including Housing Finance Companies)</w:t>
      </w:r>
      <w:r w:rsidRPr="00076F7E">
        <w:rPr>
          <w:rFonts w:ascii="Arial" w:eastAsia="Times New Roman" w:hAnsi="Arial" w:cs="Arial"/>
          <w:color w:val="000000"/>
          <w:kern w:val="0"/>
          <w:sz w:val="20"/>
          <w:szCs w:val="20"/>
          <w:lang w:eastAsia="en-IN"/>
          <w14:ligatures w14:val="none"/>
        </w:rPr>
        <w:br/>
        <w:t xml:space="preserve">All-India Financial Institutions (Exim Bank, NABARD, NHB, SIDBI and </w:t>
      </w:r>
      <w:proofErr w:type="spellStart"/>
      <w:r w:rsidRPr="00076F7E">
        <w:rPr>
          <w:rFonts w:ascii="Arial" w:eastAsia="Times New Roman" w:hAnsi="Arial" w:cs="Arial"/>
          <w:color w:val="000000"/>
          <w:kern w:val="0"/>
          <w:sz w:val="20"/>
          <w:szCs w:val="20"/>
          <w:lang w:eastAsia="en-IN"/>
          <w14:ligatures w14:val="none"/>
        </w:rPr>
        <w:t>NaBFID</w:t>
      </w:r>
      <w:proofErr w:type="spellEnd"/>
      <w:r w:rsidRPr="00076F7E">
        <w:rPr>
          <w:rFonts w:ascii="Arial" w:eastAsia="Times New Roman" w:hAnsi="Arial" w:cs="Arial"/>
          <w:color w:val="000000"/>
          <w:kern w:val="0"/>
          <w:sz w:val="20"/>
          <w:szCs w:val="20"/>
          <w:lang w:eastAsia="en-IN"/>
          <w14:ligatures w14:val="none"/>
        </w:rPr>
        <w:t>)</w:t>
      </w:r>
      <w:r w:rsidRPr="00076F7E">
        <w:rPr>
          <w:rFonts w:ascii="Arial" w:eastAsia="Times New Roman" w:hAnsi="Arial" w:cs="Arial"/>
          <w:color w:val="000000"/>
          <w:kern w:val="0"/>
          <w:sz w:val="20"/>
          <w:szCs w:val="20"/>
          <w:lang w:eastAsia="en-IN"/>
          <w14:ligatures w14:val="none"/>
        </w:rPr>
        <w:br/>
        <w:t>All Asset Reconstruction Companies</w:t>
      </w:r>
      <w:r w:rsidRPr="00076F7E">
        <w:rPr>
          <w:rFonts w:ascii="Arial" w:eastAsia="Times New Roman" w:hAnsi="Arial" w:cs="Arial"/>
          <w:color w:val="000000"/>
          <w:kern w:val="0"/>
          <w:sz w:val="20"/>
          <w:szCs w:val="20"/>
          <w:lang w:eastAsia="en-IN"/>
          <w14:ligatures w14:val="none"/>
        </w:rPr>
        <w:br/>
        <w:t>All Credit Information Companies</w:t>
      </w:r>
    </w:p>
    <w:p w14:paraId="3ED9142B"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Dear Sir/ Madam.</w:t>
      </w:r>
    </w:p>
    <w:p w14:paraId="28E78A24" w14:textId="77777777" w:rsidR="00076F7E" w:rsidRPr="00076F7E" w:rsidRDefault="00076F7E" w:rsidP="00076F7E">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076F7E">
        <w:rPr>
          <w:rFonts w:ascii="Arial" w:eastAsia="Times New Roman" w:hAnsi="Arial" w:cs="Arial"/>
          <w:b/>
          <w:bCs/>
          <w:color w:val="000000"/>
          <w:kern w:val="0"/>
          <w:sz w:val="20"/>
          <w:szCs w:val="20"/>
          <w:lang w:eastAsia="en-IN"/>
          <w14:ligatures w14:val="none"/>
        </w:rPr>
        <w:t>Framework for compensation to customers for delayed updation/ rectification of credit information</w:t>
      </w:r>
    </w:p>
    <w:p w14:paraId="55AB5CB8"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Please refer to para 4 of the </w:t>
      </w:r>
      <w:hyperlink r:id="rId43" w:tgtFrame="_blank" w:history="1">
        <w:r w:rsidRPr="00076F7E">
          <w:rPr>
            <w:rFonts w:ascii="Arial" w:eastAsia="Times New Roman" w:hAnsi="Arial" w:cs="Arial"/>
            <w:color w:val="0000FF"/>
            <w:kern w:val="0"/>
            <w:sz w:val="20"/>
            <w:szCs w:val="20"/>
            <w:u w:val="single"/>
            <w:lang w:eastAsia="en-IN"/>
            <w14:ligatures w14:val="none"/>
          </w:rPr>
          <w:t>Statement on Developmental and Regulatory Policies</w:t>
        </w:r>
      </w:hyperlink>
      <w:r w:rsidRPr="00076F7E">
        <w:rPr>
          <w:rFonts w:ascii="Arial" w:eastAsia="Times New Roman" w:hAnsi="Arial" w:cs="Arial"/>
          <w:color w:val="000000"/>
          <w:kern w:val="0"/>
          <w:sz w:val="20"/>
          <w:szCs w:val="20"/>
          <w:lang w:eastAsia="en-IN"/>
          <w14:ligatures w14:val="none"/>
        </w:rPr>
        <w:t> released with the </w:t>
      </w:r>
      <w:hyperlink r:id="rId44" w:tgtFrame="_blank" w:history="1">
        <w:r w:rsidRPr="00076F7E">
          <w:rPr>
            <w:rFonts w:ascii="Arial" w:eastAsia="Times New Roman" w:hAnsi="Arial" w:cs="Arial"/>
            <w:color w:val="0000FF"/>
            <w:kern w:val="0"/>
            <w:sz w:val="20"/>
            <w:szCs w:val="20"/>
            <w:u w:val="single"/>
            <w:lang w:eastAsia="en-IN"/>
            <w14:ligatures w14:val="none"/>
          </w:rPr>
          <w:t>Bi-monthly Monetary Policy Statement 2023-24 on April 6, 2023</w:t>
        </w:r>
      </w:hyperlink>
      <w:r w:rsidRPr="00076F7E">
        <w:rPr>
          <w:rFonts w:ascii="Arial" w:eastAsia="Times New Roman" w:hAnsi="Arial" w:cs="Arial"/>
          <w:color w:val="000000"/>
          <w:kern w:val="0"/>
          <w:sz w:val="20"/>
          <w:szCs w:val="20"/>
          <w:lang w:eastAsia="en-IN"/>
          <w14:ligatures w14:val="none"/>
        </w:rPr>
        <w:t>, wherein it was announced, inter alia, that a compensation mechanism will be put in place for delayed updation/rectification of credit information by the credit institutions (CIs) and credit information companies (CICs).</w:t>
      </w:r>
    </w:p>
    <w:p w14:paraId="2A10F049"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2. Accordingly, in exercise of the powers conferred by sub-section (1) of section 11 of the Credit Information Companies (Regulation) Act, 2005 (CICRA, 2005), the Reserve Bank of India directs CICs and CIs to implement the compensation framework for delayed updation/rectification of credit information by CIs and CICs as detailed below:</w:t>
      </w:r>
    </w:p>
    <w:p w14:paraId="66DEFA82"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(a) Complainants shall be entitled to a compensation of ₹100 per calendar day in case their complaint is not resolved within a period of thirty (30) calendar days from the date of the initial filing of the complaint by the complainant with a CI/ CIC.</w:t>
      </w:r>
    </w:p>
    <w:p w14:paraId="133D2CD7" w14:textId="77777777" w:rsidR="00076F7E" w:rsidRPr="00076F7E" w:rsidRDefault="00076F7E" w:rsidP="00076F7E">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076F7E">
        <w:rPr>
          <w:rFonts w:ascii="Arial" w:eastAsia="Times New Roman" w:hAnsi="Arial" w:cs="Arial"/>
          <w:b/>
          <w:bCs/>
          <w:color w:val="000000"/>
          <w:kern w:val="0"/>
          <w:sz w:val="20"/>
          <w:szCs w:val="20"/>
          <w:lang w:eastAsia="en-IN"/>
          <w14:ligatures w14:val="none"/>
        </w:rPr>
        <w:t>Explanation:</w:t>
      </w:r>
    </w:p>
    <w:p w14:paraId="2CEDDEE4" w14:textId="77777777" w:rsidR="00076F7E" w:rsidRPr="00076F7E" w:rsidRDefault="00076F7E" w:rsidP="00076F7E">
      <w:pPr>
        <w:numPr>
          <w:ilvl w:val="0"/>
          <w:numId w:val="11"/>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Section 21 (3) of CICRA, 2005 provides that a complainant may request a CIC or CI to update the credit information by making an appropriate correction, addition or otherwise, and on such request the CI or CIC shall take steps to update the credit information within thirty (30) days after being requested to do so.</w:t>
      </w:r>
    </w:p>
    <w:p w14:paraId="3C8C9FCE" w14:textId="77777777" w:rsidR="00076F7E" w:rsidRPr="00076F7E" w:rsidRDefault="00076F7E" w:rsidP="00076F7E">
      <w:pPr>
        <w:numPr>
          <w:ilvl w:val="0"/>
          <w:numId w:val="11"/>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Rule 20 (3) (c) of CIC Rules, 2006 provides that the CI shall forward the corrected particulars of the credit information to the CIC or complainant within a period of twenty-one (21) days from the date when the CI was informed of the inaccuracy in the credit information.</w:t>
      </w:r>
    </w:p>
    <w:p w14:paraId="79DB668B" w14:textId="77777777" w:rsidR="00076F7E" w:rsidRPr="00076F7E" w:rsidRDefault="00076F7E" w:rsidP="00076F7E">
      <w:pPr>
        <w:numPr>
          <w:ilvl w:val="0"/>
          <w:numId w:val="11"/>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The combined reading of Section 21(3) of CICRA, 2005 and Rule 20 (3) (c) of Credit Information Companies Rules, 2006 provide the CI and the CIC, collectively, an overall limit of thirty (30) days to resolve/ dispose of the complaint. In effect, this would mean that a CI would get twenty-one (21) days and CICs would effectively get the remainder of nine (9) days for complete resolution of the complaint.</w:t>
      </w:r>
    </w:p>
    <w:p w14:paraId="70F9D1FD"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(b) A CI shall pay compensation to the complainant if the CI has failed to send updated credit information to the CICs by making an appropriate correction or addition or otherwise within twenty-one (21) calendar days of being informed by the complainant or a CIC.</w:t>
      </w:r>
    </w:p>
    <w:p w14:paraId="3AF9BB8A"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(c) A CIC shall pay compensation to the complainant if the CIC has failed to resolve the complaint within thirty (30) calendar days of being informed by the complainant or a CI, despite the CI having furnished the updated credit information to the CIC within twenty-one (21) calendar days of being informed by the complainant or the CIC.</w:t>
      </w:r>
    </w:p>
    <w:p w14:paraId="199C74E0"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lastRenderedPageBreak/>
        <w:t>(d) The complainant shall be advised by the CI/ CIC of the action taken on the complaint in all cases, including the cases where the complaint has been rejected. In cases of rejection, the reasons for rejection shall also be provided by CI and CIC.</w:t>
      </w:r>
    </w:p>
    <w:p w14:paraId="223C83C1"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(e) Compensation to be provided by the CICs/ CIs to the complainant (for delayed resolution beyond thirty (30) calendar days of filing the complaint) shall be apportioned among the CIs/ CICs concerned proportionately. Illustrative examples of the same are given in </w:t>
      </w:r>
      <w:hyperlink r:id="rId45" w:tgtFrame="_blank" w:history="1">
        <w:r w:rsidRPr="00076F7E">
          <w:rPr>
            <w:rFonts w:ascii="Arial" w:eastAsia="Times New Roman" w:hAnsi="Arial" w:cs="Arial"/>
            <w:color w:val="0000FF"/>
            <w:kern w:val="0"/>
            <w:sz w:val="20"/>
            <w:szCs w:val="20"/>
            <w:u w:val="single"/>
            <w:lang w:eastAsia="en-IN"/>
            <w14:ligatures w14:val="none"/>
          </w:rPr>
          <w:t>Annex</w:t>
        </w:r>
      </w:hyperlink>
      <w:r w:rsidRPr="00076F7E">
        <w:rPr>
          <w:rFonts w:ascii="Arial" w:eastAsia="Times New Roman" w:hAnsi="Arial" w:cs="Arial"/>
          <w:color w:val="000000"/>
          <w:kern w:val="0"/>
          <w:sz w:val="20"/>
          <w:szCs w:val="20"/>
          <w:lang w:eastAsia="en-IN"/>
          <w14:ligatures w14:val="none"/>
        </w:rPr>
        <w:t>.</w:t>
      </w:r>
    </w:p>
    <w:p w14:paraId="06973671"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(f) Where the grievance/ complaint involves inaccurate credit information provided by more than one CI, the complaint shall be registered by the complainant with the concerned CIC. The CIC shall coordinate with all the CIs concerned and furnish the complainant with a comprehensive resolution of the grievance.</w:t>
      </w:r>
    </w:p>
    <w:p w14:paraId="721050C9"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(g) Where the complaint has been received and registered by a CIC and there has been a delay in the resolution of the complaint, the CIC shall inform the concerned CI(s) and the complainant after the final resolution, regarding total delay (in calendar days) and the amount of compensation to be paid by the CI(s) and/ or CIC.</w:t>
      </w:r>
    </w:p>
    <w:p w14:paraId="76F810A6"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(h) Where the complaint has been received and registered by a CI and there has been a delay in the resolution of the complaint, the CI shall inform the concerned CIC(s) and the complainant after the final resolution, regarding total delay (in calendar days) and the amount of compensation to be paid by the CI and/ or CIC(s).</w:t>
      </w:r>
    </w:p>
    <w:p w14:paraId="25A3A438"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w:t>
      </w:r>
      <w:proofErr w:type="spellStart"/>
      <w:r w:rsidRPr="00076F7E">
        <w:rPr>
          <w:rFonts w:ascii="Arial" w:eastAsia="Times New Roman" w:hAnsi="Arial" w:cs="Arial"/>
          <w:color w:val="000000"/>
          <w:kern w:val="0"/>
          <w:sz w:val="20"/>
          <w:szCs w:val="20"/>
          <w:lang w:eastAsia="en-IN"/>
          <w14:ligatures w14:val="none"/>
        </w:rPr>
        <w:t>i</w:t>
      </w:r>
      <w:proofErr w:type="spellEnd"/>
      <w:r w:rsidRPr="00076F7E">
        <w:rPr>
          <w:rFonts w:ascii="Arial" w:eastAsia="Times New Roman" w:hAnsi="Arial" w:cs="Arial"/>
          <w:color w:val="000000"/>
          <w:kern w:val="0"/>
          <w:sz w:val="20"/>
          <w:szCs w:val="20"/>
          <w:lang w:eastAsia="en-IN"/>
          <w14:ligatures w14:val="none"/>
        </w:rPr>
        <w:t>) The date of the resolution of the grievance shall be the date when the rectified Credit Information Report (CIR) has been sent by the CIC or CI to the postal address or email ID provided by the complainant.</w:t>
      </w:r>
    </w:p>
    <w:p w14:paraId="11DFD230"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(j) The CICs/ CIs shall make appropriate provision in their complaint submission format (both online and offline) for enabling the complainant to submit the contact details, email ID, and bank account details/ Unified Payment Interface (UPI) ID for crediting the compensation amount. The onus of providing accurate details will lie with the complainant and the CIs/ CICs will not be held responsible for any incorrect information provided by the complainant.</w:t>
      </w:r>
    </w:p>
    <w:p w14:paraId="528F26BF"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(k) The compensation amount shall be credited to the bank account of the complainant within five (5) working days of the resolution of the complaint.</w:t>
      </w:r>
    </w:p>
    <w:p w14:paraId="58CE46C6"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(l) The complainant can approach RBI Ombudsman, under the Reserve Bank - Integrated Ombudsman Scheme, 2021, in case of wrongful denial of compensation by CIs or CICs.</w:t>
      </w:r>
    </w:p>
    <w:p w14:paraId="7C7E0E84"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(m) In case of wrongful denial of compensation by CIs which are yet to be covered under the Reserve Bank - Integrated Ombudsman Scheme, 2021, the complainant can approach Consumer Education and Protection Cell (CEPC) functioning from Regional Offices (ROs) of Reserve Bank of India.</w:t>
      </w:r>
    </w:p>
    <w:p w14:paraId="0AFFD013"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(n) </w:t>
      </w:r>
      <w:r w:rsidRPr="00076F7E">
        <w:rPr>
          <w:rFonts w:ascii="Arial" w:eastAsia="Times New Roman" w:hAnsi="Arial" w:cs="Arial"/>
          <w:b/>
          <w:bCs/>
          <w:color w:val="000000"/>
          <w:kern w:val="0"/>
          <w:sz w:val="20"/>
          <w:szCs w:val="20"/>
          <w:lang w:eastAsia="en-IN"/>
          <w14:ligatures w14:val="none"/>
        </w:rPr>
        <w:t>Non-Maintainability:</w:t>
      </w:r>
      <w:r w:rsidRPr="00076F7E">
        <w:rPr>
          <w:rFonts w:ascii="Arial" w:eastAsia="Times New Roman" w:hAnsi="Arial" w:cs="Arial"/>
          <w:color w:val="000000"/>
          <w:kern w:val="0"/>
          <w:sz w:val="20"/>
          <w:szCs w:val="20"/>
          <w:lang w:eastAsia="en-IN"/>
          <w14:ligatures w14:val="none"/>
        </w:rPr>
        <w:t> The compensation framework shall not be applicable in the following cases:</w:t>
      </w:r>
    </w:p>
    <w:p w14:paraId="12DE0E98" w14:textId="77777777" w:rsidR="00076F7E" w:rsidRPr="00076F7E" w:rsidRDefault="00076F7E" w:rsidP="00076F7E">
      <w:pPr>
        <w:numPr>
          <w:ilvl w:val="0"/>
          <w:numId w:val="12"/>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disputes for which remedy has been provided under Section 18 of CICRA, 2005. The Section 18 of CICRA, 2005 provides that for disputes arising amongst, CICs, CIs, borrowers, and clients on matters relating to the business of credit information and for which no remedy has been provided under CICRA, 2005, such disputes shall be settled by conciliation or arbitration as provided in the Arbitration and Conciliation Act, 1996.</w:t>
      </w:r>
    </w:p>
    <w:p w14:paraId="6BE29EB4" w14:textId="77777777" w:rsidR="00076F7E" w:rsidRPr="00076F7E" w:rsidRDefault="00076F7E" w:rsidP="00076F7E">
      <w:pPr>
        <w:numPr>
          <w:ilvl w:val="0"/>
          <w:numId w:val="12"/>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complaints/ references relating to (a) internal administration, (b) human resources, (c) pay and emoluments of staff, and (d) references in the nature of suggestions and commercial decisions of the CIC/CI.</w:t>
      </w:r>
    </w:p>
    <w:p w14:paraId="6FEF5626" w14:textId="77777777" w:rsidR="00076F7E" w:rsidRPr="00076F7E" w:rsidRDefault="00076F7E" w:rsidP="00076F7E">
      <w:pPr>
        <w:numPr>
          <w:ilvl w:val="0"/>
          <w:numId w:val="12"/>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complaints pertaining to disputes/ grievances regarding the computation of the credit score/ credit score model.</w:t>
      </w:r>
    </w:p>
    <w:p w14:paraId="4BC8EC43" w14:textId="77777777" w:rsidR="00076F7E" w:rsidRPr="00076F7E" w:rsidRDefault="00076F7E" w:rsidP="00076F7E">
      <w:pPr>
        <w:numPr>
          <w:ilvl w:val="0"/>
          <w:numId w:val="12"/>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complaints that have been decided by or are already pending in other fora such as Consumer Disputes Redressal Commission, Courts, Tribunals, etc.</w:t>
      </w:r>
    </w:p>
    <w:p w14:paraId="761C94F0"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lastRenderedPageBreak/>
        <w:t>3. The compensation framework shall come into effect six (6) months from the date of this circular. CICs and CIs are directed to put in place necessary systems and processes to implement the compensation framework within this period.</w:t>
      </w:r>
    </w:p>
    <w:p w14:paraId="418AA9C8"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4. CICs and CIs which contravene or default in adherence to the above directions shall be liable for penal action as per the provisions of CICRA, 2005.</w:t>
      </w:r>
    </w:p>
    <w:p w14:paraId="7FA03B63"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Yours faithfully,</w:t>
      </w:r>
    </w:p>
    <w:p w14:paraId="41134E15" w14:textId="77777777" w:rsidR="00076F7E" w:rsidRPr="00076F7E" w:rsidRDefault="00076F7E" w:rsidP="00076F7E">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 xml:space="preserve">(R. Lakshmi </w:t>
      </w:r>
      <w:proofErr w:type="spellStart"/>
      <w:r w:rsidRPr="00076F7E">
        <w:rPr>
          <w:rFonts w:ascii="Arial" w:eastAsia="Times New Roman" w:hAnsi="Arial" w:cs="Arial"/>
          <w:color w:val="000000"/>
          <w:kern w:val="0"/>
          <w:sz w:val="20"/>
          <w:szCs w:val="20"/>
          <w:lang w:eastAsia="en-IN"/>
          <w14:ligatures w14:val="none"/>
        </w:rPr>
        <w:t>Kanth</w:t>
      </w:r>
      <w:proofErr w:type="spellEnd"/>
      <w:r w:rsidRPr="00076F7E">
        <w:rPr>
          <w:rFonts w:ascii="Arial" w:eastAsia="Times New Roman" w:hAnsi="Arial" w:cs="Arial"/>
          <w:color w:val="000000"/>
          <w:kern w:val="0"/>
          <w:sz w:val="20"/>
          <w:szCs w:val="20"/>
          <w:lang w:eastAsia="en-IN"/>
          <w14:ligatures w14:val="none"/>
        </w:rPr>
        <w:t xml:space="preserve"> Rao)</w:t>
      </w:r>
      <w:r w:rsidRPr="00076F7E">
        <w:rPr>
          <w:rFonts w:ascii="Arial" w:eastAsia="Times New Roman" w:hAnsi="Arial" w:cs="Arial"/>
          <w:color w:val="000000"/>
          <w:kern w:val="0"/>
          <w:sz w:val="20"/>
          <w:szCs w:val="20"/>
          <w:lang w:eastAsia="en-IN"/>
          <w14:ligatures w14:val="none"/>
        </w:rPr>
        <w:br/>
        <w:t>Chief General Manager-in-Charge</w:t>
      </w:r>
    </w:p>
    <w:p w14:paraId="1CA7650E" w14:textId="5CDC935D"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6F7E">
        <w:rPr>
          <w:rFonts w:ascii="Arial" w:eastAsia="Times New Roman" w:hAnsi="Arial" w:cs="Arial"/>
          <w:color w:val="000000"/>
          <w:kern w:val="0"/>
          <w:sz w:val="20"/>
          <w:szCs w:val="20"/>
          <w:lang w:eastAsia="en-IN"/>
          <w14:ligatures w14:val="none"/>
        </w:rPr>
        <w:t>Encl. Annex</w:t>
      </w:r>
    </w:p>
    <w:p w14:paraId="150E495A" w14:textId="330B7F1A" w:rsidR="00076F7E" w:rsidRDefault="000729E7"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29E7">
        <w:rPr>
          <w:rFonts w:ascii="Arial" w:eastAsia="Times New Roman" w:hAnsi="Arial" w:cs="Arial"/>
          <w:color w:val="000000"/>
          <w:kern w:val="0"/>
          <w:sz w:val="20"/>
          <w:szCs w:val="20"/>
          <w:lang w:eastAsia="en-IN"/>
          <w14:ligatures w14:val="none"/>
        </w:rPr>
        <w:t>For more details, Kindly refer:</w:t>
      </w:r>
    </w:p>
    <w:p w14:paraId="66035A6A" w14:textId="1B646216"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hyperlink r:id="rId46" w:history="1">
        <w:r w:rsidRPr="00FC240A">
          <w:rPr>
            <w:rStyle w:val="Hyperlink"/>
            <w:rFonts w:ascii="Arial" w:eastAsia="Times New Roman" w:hAnsi="Arial" w:cs="Arial"/>
            <w:kern w:val="0"/>
            <w:sz w:val="20"/>
            <w:szCs w:val="20"/>
            <w:lang w:eastAsia="en-IN"/>
            <w14:ligatures w14:val="none"/>
          </w:rPr>
          <w:t>https://rbi.org.in/Scripts/NotificationUser.aspx?Id=12554&amp;Mode=0</w:t>
        </w:r>
      </w:hyperlink>
    </w:p>
    <w:p w14:paraId="15C1420E" w14:textId="7513B470"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0FFE33B6" w14:textId="26128CE2"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30B383AF" w14:textId="71CF9249"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432BDFD3" w14:textId="05366B50"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13BF7E62" w14:textId="3460306C"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692E6943" w14:textId="34891ADD"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0AD85CDE" w14:textId="296F5630"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2F4A495A" w14:textId="4FECDA56"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4C80EA83" w14:textId="08B17231"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1A768A09" w14:textId="509A32A4"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4695A055" w14:textId="7534C626"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04A2A7E1" w14:textId="6F0F10D1"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300516F7" w14:textId="4E4ED114"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40B7D3D1" w14:textId="6745D3D0"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7CDBB910" w14:textId="1457873D"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7CEBDC57" w14:textId="7F70E3BF"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28DE1731" w14:textId="6B2C6F91"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22C0F36E" w14:textId="5F479036"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4708C282" w14:textId="1FAF8B51" w:rsid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2C806CE8" w14:textId="0A19F2C6" w:rsidR="00076F7E" w:rsidRDefault="005C19BB"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r w:rsidRPr="005C19BB">
        <w:rPr>
          <w:rFonts w:eastAsia="Times New Roman" w:cstheme="minorHAnsi"/>
          <w:b/>
          <w:color w:val="000000"/>
          <w:kern w:val="0"/>
          <w:sz w:val="24"/>
          <w:szCs w:val="24"/>
          <w:lang w:eastAsia="en-IN"/>
          <w14:ligatures w14:val="none"/>
        </w:rPr>
        <w:lastRenderedPageBreak/>
        <w:t>Review of Financial Information Provider (FIP) under Account Aggregator Framework</w:t>
      </w:r>
    </w:p>
    <w:p w14:paraId="2FB0583C" w14:textId="77777777" w:rsidR="005C19BB" w:rsidRPr="005C19BB" w:rsidRDefault="005C19BB" w:rsidP="005C19B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RBI/2023-24/76</w:t>
      </w:r>
      <w:r w:rsidRPr="005C19BB">
        <w:rPr>
          <w:rFonts w:ascii="Arial" w:eastAsia="Times New Roman" w:hAnsi="Arial" w:cs="Arial"/>
          <w:color w:val="000000"/>
          <w:kern w:val="0"/>
          <w:sz w:val="20"/>
          <w:szCs w:val="20"/>
          <w:lang w:eastAsia="en-IN"/>
          <w14:ligatures w14:val="none"/>
        </w:rPr>
        <w:br/>
        <w:t>DoR.FIN.REC.52/03.10.123/2023-24</w:t>
      </w:r>
    </w:p>
    <w:p w14:paraId="1B35BB1C" w14:textId="77777777" w:rsidR="005C19BB" w:rsidRPr="005C19BB" w:rsidRDefault="005C19BB" w:rsidP="005C19BB">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October 26, 2023</w:t>
      </w:r>
    </w:p>
    <w:p w14:paraId="7757D552" w14:textId="77777777" w:rsidR="005C19BB" w:rsidRPr="005C19BB" w:rsidRDefault="005C19BB" w:rsidP="005C19B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All Regulated Entities of the Bank</w:t>
      </w:r>
    </w:p>
    <w:p w14:paraId="7F9F94CF" w14:textId="77777777" w:rsidR="005C19BB" w:rsidRPr="005C19BB" w:rsidRDefault="005C19BB" w:rsidP="005C19B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Madam/ Dear Sir,</w:t>
      </w:r>
    </w:p>
    <w:p w14:paraId="281CCA4D" w14:textId="77777777" w:rsidR="005C19BB" w:rsidRPr="005C19BB" w:rsidRDefault="005C19BB" w:rsidP="005C19BB">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5C19BB">
        <w:rPr>
          <w:rFonts w:ascii="Arial" w:eastAsia="Times New Roman" w:hAnsi="Arial" w:cs="Arial"/>
          <w:b/>
          <w:bCs/>
          <w:color w:val="000000"/>
          <w:kern w:val="0"/>
          <w:sz w:val="20"/>
          <w:szCs w:val="20"/>
          <w:lang w:eastAsia="en-IN"/>
          <w14:ligatures w14:val="none"/>
        </w:rPr>
        <w:t>Review of Financial Information Provider (FIP) under Account Aggregator Framework</w:t>
      </w:r>
    </w:p>
    <w:p w14:paraId="7389C49C" w14:textId="77777777" w:rsidR="005C19BB" w:rsidRPr="005C19BB" w:rsidRDefault="005C19BB" w:rsidP="005C19B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Please refer to the paragraph 3(1)(xi) of </w:t>
      </w:r>
      <w:hyperlink r:id="rId47" w:tgtFrame="_blank" w:history="1">
        <w:r w:rsidRPr="005C19BB">
          <w:rPr>
            <w:rFonts w:ascii="Arial" w:eastAsia="Times New Roman" w:hAnsi="Arial" w:cs="Arial"/>
            <w:color w:val="0000FF"/>
            <w:kern w:val="0"/>
            <w:sz w:val="20"/>
            <w:szCs w:val="20"/>
            <w:u w:val="single"/>
            <w:lang w:eastAsia="en-IN"/>
            <w14:ligatures w14:val="none"/>
          </w:rPr>
          <w:t>Master Direction – Non-Banking Financial Company - Account Aggregator (Reserve Bank) Directions, 2016</w:t>
        </w:r>
      </w:hyperlink>
      <w:r w:rsidRPr="005C19BB">
        <w:rPr>
          <w:rFonts w:ascii="Arial" w:eastAsia="Times New Roman" w:hAnsi="Arial" w:cs="Arial"/>
          <w:color w:val="000000"/>
          <w:kern w:val="0"/>
          <w:sz w:val="20"/>
          <w:szCs w:val="20"/>
          <w:lang w:eastAsia="en-IN"/>
          <w14:ligatures w14:val="none"/>
        </w:rPr>
        <w:t> defining the term ‘Financial Information Provider’.</w:t>
      </w:r>
    </w:p>
    <w:p w14:paraId="0748904F" w14:textId="77777777" w:rsidR="005C19BB" w:rsidRPr="005C19BB" w:rsidRDefault="005C19BB" w:rsidP="005C19B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2. As per National Pension System (NPS) architecture, Central Recordkeeping Agency (CRA), registered under section 27 of the Pension Fund Regulatory and Development Authority (PFRDA) Act, 2013, acts as an interface between the different intermediaries in the NPS system. CRAs hold information pertaining to the subscribers including the balances under NPS. Accordingly, and as suggested by the PFRDA, it has been decided to replace ‘Pension Fund’ with ‘Central Recordkeeping Agency’ as the financial information provider in the AA ecosystem.</w:t>
      </w:r>
    </w:p>
    <w:p w14:paraId="05D4CF17" w14:textId="77777777" w:rsidR="005C19BB" w:rsidRPr="005C19BB" w:rsidRDefault="005C19BB" w:rsidP="005C19B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3. The </w:t>
      </w:r>
      <w:hyperlink r:id="rId48" w:tgtFrame="_blank" w:history="1">
        <w:r w:rsidRPr="005C19BB">
          <w:rPr>
            <w:rFonts w:ascii="Arial" w:eastAsia="Times New Roman" w:hAnsi="Arial" w:cs="Arial"/>
            <w:color w:val="0000FF"/>
            <w:kern w:val="0"/>
            <w:sz w:val="20"/>
            <w:szCs w:val="20"/>
            <w:u w:val="single"/>
            <w:lang w:eastAsia="en-IN"/>
            <w14:ligatures w14:val="none"/>
          </w:rPr>
          <w:t>Master Direction – Non-Banking Financial Company - Account Aggregator (Reserve Bank) Directions, 2016</w:t>
        </w:r>
      </w:hyperlink>
      <w:r w:rsidRPr="005C19BB">
        <w:rPr>
          <w:rFonts w:ascii="Arial" w:eastAsia="Times New Roman" w:hAnsi="Arial" w:cs="Arial"/>
          <w:color w:val="000000"/>
          <w:kern w:val="0"/>
          <w:sz w:val="20"/>
          <w:szCs w:val="20"/>
          <w:lang w:eastAsia="en-IN"/>
          <w14:ligatures w14:val="none"/>
        </w:rPr>
        <w:t>, is being modified accordingly.</w:t>
      </w:r>
    </w:p>
    <w:p w14:paraId="50195529" w14:textId="77777777" w:rsidR="005C19BB" w:rsidRPr="005C19BB" w:rsidRDefault="005C19BB" w:rsidP="005C19B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Yours faithfully,</w:t>
      </w:r>
    </w:p>
    <w:p w14:paraId="20833CAB" w14:textId="44C14878" w:rsidR="005C19BB" w:rsidRDefault="005C19BB" w:rsidP="005C19BB">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 xml:space="preserve">(R. Lakshmi </w:t>
      </w:r>
      <w:proofErr w:type="spellStart"/>
      <w:r w:rsidRPr="005C19BB">
        <w:rPr>
          <w:rFonts w:ascii="Arial" w:eastAsia="Times New Roman" w:hAnsi="Arial" w:cs="Arial"/>
          <w:color w:val="000000"/>
          <w:kern w:val="0"/>
          <w:sz w:val="20"/>
          <w:szCs w:val="20"/>
          <w:lang w:eastAsia="en-IN"/>
          <w14:ligatures w14:val="none"/>
        </w:rPr>
        <w:t>Kanth</w:t>
      </w:r>
      <w:proofErr w:type="spellEnd"/>
      <w:r w:rsidRPr="005C19BB">
        <w:rPr>
          <w:rFonts w:ascii="Arial" w:eastAsia="Times New Roman" w:hAnsi="Arial" w:cs="Arial"/>
          <w:color w:val="000000"/>
          <w:kern w:val="0"/>
          <w:sz w:val="20"/>
          <w:szCs w:val="20"/>
          <w:lang w:eastAsia="en-IN"/>
          <w14:ligatures w14:val="none"/>
        </w:rPr>
        <w:t xml:space="preserve"> Rao)</w:t>
      </w:r>
      <w:r w:rsidRPr="005C19BB">
        <w:rPr>
          <w:rFonts w:ascii="Arial" w:eastAsia="Times New Roman" w:hAnsi="Arial" w:cs="Arial"/>
          <w:color w:val="000000"/>
          <w:kern w:val="0"/>
          <w:sz w:val="20"/>
          <w:szCs w:val="20"/>
          <w:lang w:eastAsia="en-IN"/>
          <w14:ligatures w14:val="none"/>
        </w:rPr>
        <w:br/>
        <w:t>Chief General Manager-in-Charge</w:t>
      </w:r>
    </w:p>
    <w:p w14:paraId="460605D3" w14:textId="3B8D25B1" w:rsidR="005C19BB" w:rsidRDefault="000729E7" w:rsidP="005C19BB">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729E7">
        <w:rPr>
          <w:rFonts w:ascii="Arial" w:eastAsia="Times New Roman" w:hAnsi="Arial" w:cs="Arial"/>
          <w:color w:val="000000"/>
          <w:kern w:val="0"/>
          <w:sz w:val="20"/>
          <w:szCs w:val="20"/>
          <w:lang w:eastAsia="en-IN"/>
          <w14:ligatures w14:val="none"/>
        </w:rPr>
        <w:t>For more details, Kindly refer:</w:t>
      </w:r>
    </w:p>
    <w:bookmarkStart w:id="0" w:name="_GoBack"/>
    <w:p w14:paraId="3C42CFC8" w14:textId="7B396CED" w:rsidR="005C19BB" w:rsidRPr="004B7CCA" w:rsidRDefault="005C19BB" w:rsidP="005C19BB">
      <w:pPr>
        <w:spacing w:before="100" w:beforeAutospacing="1" w:after="100" w:afterAutospacing="1" w:line="240" w:lineRule="auto"/>
        <w:rPr>
          <w:rFonts w:eastAsia="Times New Roman" w:cstheme="minorHAnsi"/>
          <w:color w:val="000000"/>
          <w:kern w:val="0"/>
          <w:sz w:val="24"/>
          <w:szCs w:val="24"/>
          <w:lang w:eastAsia="en-IN"/>
          <w14:ligatures w14:val="none"/>
        </w:rPr>
      </w:pPr>
      <w:r w:rsidRPr="004B7CCA">
        <w:rPr>
          <w:rFonts w:eastAsia="Times New Roman" w:cstheme="minorHAnsi"/>
          <w:color w:val="000000"/>
          <w:kern w:val="0"/>
          <w:sz w:val="24"/>
          <w:szCs w:val="24"/>
          <w:lang w:eastAsia="en-IN"/>
          <w14:ligatures w14:val="none"/>
        </w:rPr>
        <w:fldChar w:fldCharType="begin"/>
      </w:r>
      <w:r w:rsidRPr="004B7CCA">
        <w:rPr>
          <w:rFonts w:eastAsia="Times New Roman" w:cstheme="minorHAnsi"/>
          <w:color w:val="000000"/>
          <w:kern w:val="0"/>
          <w:sz w:val="24"/>
          <w:szCs w:val="24"/>
          <w:lang w:eastAsia="en-IN"/>
          <w14:ligatures w14:val="none"/>
        </w:rPr>
        <w:instrText xml:space="preserve"> HYPERLINK "https://rbi.org.in/Scripts/NotificationUser.aspx?Id=12557&amp;Mode=0" </w:instrText>
      </w:r>
      <w:r w:rsidRPr="004B7CCA">
        <w:rPr>
          <w:rFonts w:eastAsia="Times New Roman" w:cstheme="minorHAnsi"/>
          <w:color w:val="000000"/>
          <w:kern w:val="0"/>
          <w:sz w:val="24"/>
          <w:szCs w:val="24"/>
          <w:lang w:eastAsia="en-IN"/>
          <w14:ligatures w14:val="none"/>
        </w:rPr>
        <w:fldChar w:fldCharType="separate"/>
      </w:r>
      <w:r w:rsidRPr="004B7CCA">
        <w:rPr>
          <w:rStyle w:val="Hyperlink"/>
          <w:rFonts w:eastAsia="Times New Roman" w:cstheme="minorHAnsi"/>
          <w:kern w:val="0"/>
          <w:sz w:val="24"/>
          <w:szCs w:val="24"/>
          <w:lang w:eastAsia="en-IN"/>
          <w14:ligatures w14:val="none"/>
        </w:rPr>
        <w:t>https://rbi.org.in/Scripts/NotificationUser.aspx?Id=12557&amp;Mode=0</w:t>
      </w:r>
      <w:r w:rsidRPr="004B7CCA">
        <w:rPr>
          <w:rFonts w:eastAsia="Times New Roman" w:cstheme="minorHAnsi"/>
          <w:color w:val="000000"/>
          <w:kern w:val="0"/>
          <w:sz w:val="24"/>
          <w:szCs w:val="24"/>
          <w:lang w:eastAsia="en-IN"/>
          <w14:ligatures w14:val="none"/>
        </w:rPr>
        <w:fldChar w:fldCharType="end"/>
      </w:r>
    </w:p>
    <w:bookmarkEnd w:id="0"/>
    <w:p w14:paraId="3C06880E" w14:textId="6514C4A5" w:rsidR="005C19BB" w:rsidRDefault="005C19BB" w:rsidP="005C19BB">
      <w:pPr>
        <w:spacing w:before="100" w:beforeAutospacing="1" w:after="100" w:afterAutospacing="1" w:line="240" w:lineRule="auto"/>
        <w:rPr>
          <w:rFonts w:eastAsia="Times New Roman" w:cstheme="minorHAnsi"/>
          <w:b/>
          <w:color w:val="000000"/>
          <w:kern w:val="0"/>
          <w:sz w:val="24"/>
          <w:szCs w:val="24"/>
          <w:lang w:eastAsia="en-IN"/>
          <w14:ligatures w14:val="none"/>
        </w:rPr>
      </w:pPr>
    </w:p>
    <w:p w14:paraId="68C8D437" w14:textId="7B823FDB" w:rsidR="005C19BB" w:rsidRDefault="005C19BB" w:rsidP="005C19BB">
      <w:pPr>
        <w:spacing w:before="100" w:beforeAutospacing="1" w:after="100" w:afterAutospacing="1" w:line="240" w:lineRule="auto"/>
        <w:rPr>
          <w:rFonts w:eastAsia="Times New Roman" w:cstheme="minorHAnsi"/>
          <w:b/>
          <w:color w:val="000000"/>
          <w:kern w:val="0"/>
          <w:sz w:val="24"/>
          <w:szCs w:val="24"/>
          <w:lang w:eastAsia="en-IN"/>
          <w14:ligatures w14:val="none"/>
        </w:rPr>
      </w:pPr>
    </w:p>
    <w:p w14:paraId="4ED8BAC1" w14:textId="6B81643D" w:rsidR="005C19BB" w:rsidRDefault="005C19BB" w:rsidP="005C19BB">
      <w:pPr>
        <w:spacing w:before="100" w:beforeAutospacing="1" w:after="100" w:afterAutospacing="1" w:line="240" w:lineRule="auto"/>
        <w:rPr>
          <w:rFonts w:eastAsia="Times New Roman" w:cstheme="minorHAnsi"/>
          <w:b/>
          <w:color w:val="000000"/>
          <w:kern w:val="0"/>
          <w:sz w:val="24"/>
          <w:szCs w:val="24"/>
          <w:lang w:eastAsia="en-IN"/>
          <w14:ligatures w14:val="none"/>
        </w:rPr>
      </w:pPr>
    </w:p>
    <w:p w14:paraId="5DEF681A" w14:textId="447995AC" w:rsidR="005C19BB" w:rsidRDefault="005C19BB" w:rsidP="005C19BB">
      <w:pPr>
        <w:spacing w:before="100" w:beforeAutospacing="1" w:after="100" w:afterAutospacing="1" w:line="240" w:lineRule="auto"/>
        <w:rPr>
          <w:rFonts w:eastAsia="Times New Roman" w:cstheme="minorHAnsi"/>
          <w:b/>
          <w:color w:val="000000"/>
          <w:kern w:val="0"/>
          <w:sz w:val="24"/>
          <w:szCs w:val="24"/>
          <w:lang w:eastAsia="en-IN"/>
          <w14:ligatures w14:val="none"/>
        </w:rPr>
      </w:pPr>
    </w:p>
    <w:p w14:paraId="076FB45D" w14:textId="63671532" w:rsidR="005C19BB" w:rsidRDefault="005C19BB" w:rsidP="005C19BB">
      <w:pPr>
        <w:spacing w:before="100" w:beforeAutospacing="1" w:after="100" w:afterAutospacing="1" w:line="240" w:lineRule="auto"/>
        <w:rPr>
          <w:rFonts w:eastAsia="Times New Roman" w:cstheme="minorHAnsi"/>
          <w:b/>
          <w:color w:val="000000"/>
          <w:kern w:val="0"/>
          <w:sz w:val="24"/>
          <w:szCs w:val="24"/>
          <w:lang w:eastAsia="en-IN"/>
          <w14:ligatures w14:val="none"/>
        </w:rPr>
      </w:pPr>
    </w:p>
    <w:p w14:paraId="04A50EF6" w14:textId="4B3BA724" w:rsidR="005C19BB" w:rsidRDefault="005C19BB" w:rsidP="005C19BB">
      <w:pPr>
        <w:spacing w:before="100" w:beforeAutospacing="1" w:after="100" w:afterAutospacing="1" w:line="240" w:lineRule="auto"/>
        <w:rPr>
          <w:rFonts w:eastAsia="Times New Roman" w:cstheme="minorHAnsi"/>
          <w:b/>
          <w:color w:val="000000"/>
          <w:kern w:val="0"/>
          <w:sz w:val="24"/>
          <w:szCs w:val="24"/>
          <w:lang w:eastAsia="en-IN"/>
          <w14:ligatures w14:val="none"/>
        </w:rPr>
      </w:pPr>
    </w:p>
    <w:p w14:paraId="4A87FD9F" w14:textId="5E19AC07" w:rsidR="005C19BB" w:rsidRDefault="005C19BB" w:rsidP="005C19BB">
      <w:pPr>
        <w:spacing w:before="100" w:beforeAutospacing="1" w:after="100" w:afterAutospacing="1" w:line="240" w:lineRule="auto"/>
        <w:rPr>
          <w:rFonts w:eastAsia="Times New Roman" w:cstheme="minorHAnsi"/>
          <w:b/>
          <w:color w:val="000000"/>
          <w:kern w:val="0"/>
          <w:sz w:val="24"/>
          <w:szCs w:val="24"/>
          <w:lang w:eastAsia="en-IN"/>
          <w14:ligatures w14:val="none"/>
        </w:rPr>
      </w:pPr>
    </w:p>
    <w:p w14:paraId="19E97EA2" w14:textId="2DABCA85" w:rsidR="005C19BB" w:rsidRDefault="005C19BB" w:rsidP="005C19BB">
      <w:pPr>
        <w:spacing w:before="100" w:beforeAutospacing="1" w:after="100" w:afterAutospacing="1" w:line="240" w:lineRule="auto"/>
        <w:rPr>
          <w:rFonts w:eastAsia="Times New Roman" w:cstheme="minorHAnsi"/>
          <w:b/>
          <w:color w:val="000000"/>
          <w:kern w:val="0"/>
          <w:sz w:val="24"/>
          <w:szCs w:val="24"/>
          <w:lang w:eastAsia="en-IN"/>
          <w14:ligatures w14:val="none"/>
        </w:rPr>
      </w:pPr>
    </w:p>
    <w:p w14:paraId="3285169A" w14:textId="36C0D3F5" w:rsidR="005C19BB" w:rsidRDefault="005C19BB" w:rsidP="005C19BB">
      <w:pPr>
        <w:spacing w:before="100" w:beforeAutospacing="1" w:after="100" w:afterAutospacing="1" w:line="240" w:lineRule="auto"/>
        <w:rPr>
          <w:rFonts w:eastAsia="Times New Roman" w:cstheme="minorHAnsi"/>
          <w:b/>
          <w:color w:val="000000"/>
          <w:kern w:val="0"/>
          <w:sz w:val="24"/>
          <w:szCs w:val="24"/>
          <w:lang w:eastAsia="en-IN"/>
          <w14:ligatures w14:val="none"/>
        </w:rPr>
      </w:pPr>
    </w:p>
    <w:p w14:paraId="1E9038D2" w14:textId="3A8E0E89" w:rsidR="005C19BB" w:rsidRDefault="005C19BB" w:rsidP="005C19BB">
      <w:pPr>
        <w:spacing w:before="100" w:beforeAutospacing="1" w:after="100" w:afterAutospacing="1" w:line="240" w:lineRule="auto"/>
        <w:rPr>
          <w:rFonts w:eastAsia="Times New Roman" w:cstheme="minorHAnsi"/>
          <w:b/>
          <w:color w:val="000000"/>
          <w:kern w:val="0"/>
          <w:sz w:val="24"/>
          <w:szCs w:val="24"/>
          <w:lang w:eastAsia="en-IN"/>
          <w14:ligatures w14:val="none"/>
        </w:rPr>
      </w:pPr>
      <w:r w:rsidRPr="005C19BB">
        <w:rPr>
          <w:rFonts w:eastAsia="Times New Roman" w:cstheme="minorHAnsi"/>
          <w:b/>
          <w:color w:val="000000"/>
          <w:kern w:val="0"/>
          <w:sz w:val="24"/>
          <w:szCs w:val="24"/>
          <w:lang w:eastAsia="en-IN"/>
          <w14:ligatures w14:val="none"/>
        </w:rPr>
        <w:lastRenderedPageBreak/>
        <w:t>Joining the Account Aggregator Ecosystem as Financial Information User</w:t>
      </w:r>
    </w:p>
    <w:p w14:paraId="1BD13403" w14:textId="77777777" w:rsidR="005C19BB" w:rsidRPr="005C19BB" w:rsidRDefault="005C19BB" w:rsidP="005C19B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RBI/2023-24/77</w:t>
      </w:r>
      <w:r w:rsidRPr="005C19BB">
        <w:rPr>
          <w:rFonts w:ascii="Arial" w:eastAsia="Times New Roman" w:hAnsi="Arial" w:cs="Arial"/>
          <w:color w:val="000000"/>
          <w:kern w:val="0"/>
          <w:sz w:val="20"/>
          <w:szCs w:val="20"/>
          <w:lang w:eastAsia="en-IN"/>
          <w14:ligatures w14:val="none"/>
        </w:rPr>
        <w:br/>
        <w:t>DoR.FIN.REC.53/03.10.123/2023-24</w:t>
      </w:r>
    </w:p>
    <w:p w14:paraId="43C527B6" w14:textId="77777777" w:rsidR="005C19BB" w:rsidRPr="005C19BB" w:rsidRDefault="005C19BB" w:rsidP="005C19BB">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October 26, 2023</w:t>
      </w:r>
    </w:p>
    <w:p w14:paraId="7D915C09" w14:textId="77777777" w:rsidR="005C19BB" w:rsidRPr="005C19BB" w:rsidRDefault="005C19BB" w:rsidP="005C19B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All Regulated Entities of the Bank</w:t>
      </w:r>
    </w:p>
    <w:p w14:paraId="4C84CD30" w14:textId="77777777" w:rsidR="005C19BB" w:rsidRPr="005C19BB" w:rsidRDefault="005C19BB" w:rsidP="005C19B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Dear Sir/ Madam,</w:t>
      </w:r>
    </w:p>
    <w:p w14:paraId="1DC09776" w14:textId="77777777" w:rsidR="005C19BB" w:rsidRPr="005C19BB" w:rsidRDefault="005C19BB" w:rsidP="005C19BB">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5C19BB">
        <w:rPr>
          <w:rFonts w:ascii="Arial" w:eastAsia="Times New Roman" w:hAnsi="Arial" w:cs="Arial"/>
          <w:b/>
          <w:bCs/>
          <w:color w:val="000000"/>
          <w:kern w:val="0"/>
          <w:sz w:val="20"/>
          <w:szCs w:val="20"/>
          <w:lang w:eastAsia="en-IN"/>
          <w14:ligatures w14:val="none"/>
        </w:rPr>
        <w:t>Joining the Account Aggregator Ecosystem as Financial Information User</w:t>
      </w:r>
    </w:p>
    <w:p w14:paraId="007F485D" w14:textId="77777777" w:rsidR="005C19BB" w:rsidRPr="005C19BB" w:rsidRDefault="005C19BB" w:rsidP="005C19B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Please refer to the </w:t>
      </w:r>
      <w:hyperlink r:id="rId49" w:tgtFrame="_blank" w:history="1">
        <w:r w:rsidRPr="005C19BB">
          <w:rPr>
            <w:rFonts w:ascii="Arial" w:eastAsia="Times New Roman" w:hAnsi="Arial" w:cs="Arial"/>
            <w:color w:val="0000FF"/>
            <w:kern w:val="0"/>
            <w:sz w:val="20"/>
            <w:szCs w:val="20"/>
            <w:u w:val="single"/>
            <w:lang w:eastAsia="en-IN"/>
            <w14:ligatures w14:val="none"/>
          </w:rPr>
          <w:t>Master Direction – Non-Banking Financial Company - Account Aggregator (Reserve Bank) Directions, 2016</w:t>
        </w:r>
      </w:hyperlink>
      <w:r w:rsidRPr="005C19BB">
        <w:rPr>
          <w:rFonts w:ascii="Arial" w:eastAsia="Times New Roman" w:hAnsi="Arial" w:cs="Arial"/>
          <w:color w:val="000000"/>
          <w:kern w:val="0"/>
          <w:sz w:val="20"/>
          <w:szCs w:val="20"/>
          <w:lang w:eastAsia="en-IN"/>
          <w14:ligatures w14:val="none"/>
        </w:rPr>
        <w:t>.</w:t>
      </w:r>
    </w:p>
    <w:p w14:paraId="2E07B7A2" w14:textId="77777777" w:rsidR="005C19BB" w:rsidRPr="005C19BB" w:rsidRDefault="005C19BB" w:rsidP="005C19B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 xml:space="preserve">2. It has been observed that certain entities, which are eligible to join Account Aggregator (AA) ecosystem as Financial Information Provider (FIP), have </w:t>
      </w:r>
      <w:proofErr w:type="spellStart"/>
      <w:r w:rsidRPr="005C19BB">
        <w:rPr>
          <w:rFonts w:ascii="Arial" w:eastAsia="Times New Roman" w:hAnsi="Arial" w:cs="Arial"/>
          <w:color w:val="000000"/>
          <w:kern w:val="0"/>
          <w:sz w:val="20"/>
          <w:szCs w:val="20"/>
          <w:lang w:eastAsia="en-IN"/>
          <w14:ligatures w14:val="none"/>
        </w:rPr>
        <w:t>onboarded</w:t>
      </w:r>
      <w:proofErr w:type="spellEnd"/>
      <w:r w:rsidRPr="005C19BB">
        <w:rPr>
          <w:rFonts w:ascii="Arial" w:eastAsia="Times New Roman" w:hAnsi="Arial" w:cs="Arial"/>
          <w:color w:val="000000"/>
          <w:kern w:val="0"/>
          <w:sz w:val="20"/>
          <w:szCs w:val="20"/>
          <w:lang w:eastAsia="en-IN"/>
          <w14:ligatures w14:val="none"/>
        </w:rPr>
        <w:t xml:space="preserve"> as Financial Information User (FI-U) only. Consequently, such entities are accessing financial information from other FIPs but are not providing the financial information held by them. As such, with a view to ensure efficient and optimum utilisation of the AA ecosystem, it has been decided that regulated entities of the Bank joining the AA ecosystem as FI-U shall necessarily join as FIP also, if they hold the specified financial information and fall under the definition of FIP.</w:t>
      </w:r>
    </w:p>
    <w:p w14:paraId="791C7CE5" w14:textId="77777777" w:rsidR="005C19BB" w:rsidRPr="005C19BB" w:rsidRDefault="005C19BB" w:rsidP="005C19B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3. The </w:t>
      </w:r>
      <w:hyperlink r:id="rId50" w:tgtFrame="_blank" w:history="1">
        <w:r w:rsidRPr="005C19BB">
          <w:rPr>
            <w:rFonts w:ascii="Arial" w:eastAsia="Times New Roman" w:hAnsi="Arial" w:cs="Arial"/>
            <w:color w:val="0000FF"/>
            <w:kern w:val="0"/>
            <w:sz w:val="20"/>
            <w:szCs w:val="20"/>
            <w:u w:val="single"/>
            <w:lang w:eastAsia="en-IN"/>
            <w14:ligatures w14:val="none"/>
          </w:rPr>
          <w:t>Master Direction – Non-Banking Financial Company - Account Aggregator (Reserve Bank) Directions, 2016</w:t>
        </w:r>
      </w:hyperlink>
      <w:r w:rsidRPr="005C19BB">
        <w:rPr>
          <w:rFonts w:ascii="Arial" w:eastAsia="Times New Roman" w:hAnsi="Arial" w:cs="Arial"/>
          <w:color w:val="000000"/>
          <w:kern w:val="0"/>
          <w:sz w:val="20"/>
          <w:szCs w:val="20"/>
          <w:lang w:eastAsia="en-IN"/>
          <w14:ligatures w14:val="none"/>
        </w:rPr>
        <w:t>, is being modified accordingly.</w:t>
      </w:r>
    </w:p>
    <w:p w14:paraId="54F047A0" w14:textId="77777777" w:rsidR="005C19BB" w:rsidRPr="005C19BB" w:rsidRDefault="005C19BB" w:rsidP="005C19B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Yours faithfully,</w:t>
      </w:r>
    </w:p>
    <w:p w14:paraId="20F8B30C" w14:textId="7FF998BD" w:rsidR="005C19BB" w:rsidRDefault="005C19BB" w:rsidP="005C19BB">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 xml:space="preserve">(R. Lakshmi </w:t>
      </w:r>
      <w:proofErr w:type="spellStart"/>
      <w:r w:rsidRPr="005C19BB">
        <w:rPr>
          <w:rFonts w:ascii="Arial" w:eastAsia="Times New Roman" w:hAnsi="Arial" w:cs="Arial"/>
          <w:color w:val="000000"/>
          <w:kern w:val="0"/>
          <w:sz w:val="20"/>
          <w:szCs w:val="20"/>
          <w:lang w:eastAsia="en-IN"/>
          <w14:ligatures w14:val="none"/>
        </w:rPr>
        <w:t>Kanth</w:t>
      </w:r>
      <w:proofErr w:type="spellEnd"/>
      <w:r w:rsidRPr="005C19BB">
        <w:rPr>
          <w:rFonts w:ascii="Arial" w:eastAsia="Times New Roman" w:hAnsi="Arial" w:cs="Arial"/>
          <w:color w:val="000000"/>
          <w:kern w:val="0"/>
          <w:sz w:val="20"/>
          <w:szCs w:val="20"/>
          <w:lang w:eastAsia="en-IN"/>
          <w14:ligatures w14:val="none"/>
        </w:rPr>
        <w:t xml:space="preserve"> Rao)</w:t>
      </w:r>
      <w:r w:rsidRPr="005C19BB">
        <w:rPr>
          <w:rFonts w:ascii="Arial" w:eastAsia="Times New Roman" w:hAnsi="Arial" w:cs="Arial"/>
          <w:color w:val="000000"/>
          <w:kern w:val="0"/>
          <w:sz w:val="20"/>
          <w:szCs w:val="20"/>
          <w:lang w:eastAsia="en-IN"/>
          <w14:ligatures w14:val="none"/>
        </w:rPr>
        <w:br/>
        <w:t>Chief General Manager-in-Charge</w:t>
      </w:r>
    </w:p>
    <w:p w14:paraId="25659282" w14:textId="6C0D7163" w:rsidR="005C19BB" w:rsidRDefault="000729E7" w:rsidP="005C19BB">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729E7">
        <w:rPr>
          <w:rFonts w:ascii="Arial" w:eastAsia="Times New Roman" w:hAnsi="Arial" w:cs="Arial"/>
          <w:color w:val="000000"/>
          <w:kern w:val="0"/>
          <w:sz w:val="20"/>
          <w:szCs w:val="20"/>
          <w:lang w:eastAsia="en-IN"/>
          <w14:ligatures w14:val="none"/>
        </w:rPr>
        <w:t>For more details, Kindly refer:</w:t>
      </w:r>
    </w:p>
    <w:p w14:paraId="0607CE1E" w14:textId="2F258477" w:rsidR="005C19BB" w:rsidRDefault="005C19BB" w:rsidP="005C19BB">
      <w:pPr>
        <w:spacing w:before="100" w:beforeAutospacing="1" w:after="100" w:afterAutospacing="1" w:line="240" w:lineRule="auto"/>
        <w:rPr>
          <w:rFonts w:ascii="Arial" w:eastAsia="Times New Roman" w:hAnsi="Arial" w:cs="Arial"/>
          <w:color w:val="000000"/>
          <w:kern w:val="0"/>
          <w:sz w:val="20"/>
          <w:szCs w:val="20"/>
          <w:lang w:eastAsia="en-IN"/>
          <w14:ligatures w14:val="none"/>
        </w:rPr>
      </w:pPr>
      <w:hyperlink r:id="rId51" w:history="1">
        <w:r w:rsidRPr="00FC240A">
          <w:rPr>
            <w:rStyle w:val="Hyperlink"/>
            <w:rFonts w:ascii="Arial" w:eastAsia="Times New Roman" w:hAnsi="Arial" w:cs="Arial"/>
            <w:kern w:val="0"/>
            <w:sz w:val="20"/>
            <w:szCs w:val="20"/>
            <w:lang w:eastAsia="en-IN"/>
            <w14:ligatures w14:val="none"/>
          </w:rPr>
          <w:t>https://rbi.org.in/Scripts/NotificationUser.aspx?Id=12558&amp;Mode=0</w:t>
        </w:r>
      </w:hyperlink>
    </w:p>
    <w:p w14:paraId="1430F66D" w14:textId="4D57A491" w:rsidR="005C19BB" w:rsidRDefault="005C19BB" w:rsidP="005C19BB">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365138A0" w14:textId="64F625D1" w:rsidR="005C19BB" w:rsidRDefault="005C19BB" w:rsidP="005C19BB">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5215BF02" w14:textId="274D81C6" w:rsidR="005C19BB" w:rsidRDefault="005C19BB" w:rsidP="005C19BB">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63785ECC" w14:textId="1BD99818" w:rsidR="005C19BB" w:rsidRDefault="005C19BB" w:rsidP="005C19BB">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05AC9E59" w14:textId="4A4376B3" w:rsidR="005C19BB" w:rsidRDefault="005C19BB" w:rsidP="005C19BB">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192D9DFA" w14:textId="06123759" w:rsidR="005C19BB" w:rsidRDefault="005C19BB" w:rsidP="005C19BB">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03E1F54D" w14:textId="0E8C45A5" w:rsidR="005C19BB" w:rsidRDefault="005C19BB" w:rsidP="005C19BB">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36588709" w14:textId="7D4131AB" w:rsidR="005C19BB" w:rsidRDefault="005C19BB" w:rsidP="005C19BB">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491B5F50" w14:textId="3A245302" w:rsidR="005C19BB" w:rsidRDefault="005C19BB" w:rsidP="005C19BB">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204AC878" w14:textId="23AEA14E" w:rsidR="005C19BB" w:rsidRDefault="005C19BB" w:rsidP="005C19BB">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7D6EE6BA" w14:textId="2B613D5B" w:rsidR="005C19BB" w:rsidRDefault="005C19BB" w:rsidP="005C19BB">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r w:rsidRPr="005C19BB">
        <w:rPr>
          <w:rFonts w:eastAsia="Times New Roman" w:cstheme="minorHAnsi"/>
          <w:b/>
          <w:color w:val="000000"/>
          <w:kern w:val="0"/>
          <w:sz w:val="24"/>
          <w:szCs w:val="24"/>
          <w:lang w:eastAsia="en-IN"/>
          <w14:ligatures w14:val="none"/>
        </w:rPr>
        <w:lastRenderedPageBreak/>
        <w:t>Master Direction on Information Technology Governance, Risk, Controls and Assurance Practices</w:t>
      </w:r>
    </w:p>
    <w:p w14:paraId="2BABE263" w14:textId="77777777" w:rsidR="005C19BB" w:rsidRPr="005C19BB" w:rsidRDefault="005C19BB" w:rsidP="005C19B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RBI/2023-24/107</w:t>
      </w:r>
      <w:r w:rsidRPr="005C19BB">
        <w:rPr>
          <w:rFonts w:ascii="Arial" w:eastAsia="Times New Roman" w:hAnsi="Arial" w:cs="Arial"/>
          <w:color w:val="000000"/>
          <w:kern w:val="0"/>
          <w:sz w:val="20"/>
          <w:szCs w:val="20"/>
          <w:lang w:eastAsia="en-IN"/>
          <w14:ligatures w14:val="none"/>
        </w:rPr>
        <w:br/>
      </w:r>
      <w:proofErr w:type="spellStart"/>
      <w:r w:rsidRPr="005C19BB">
        <w:rPr>
          <w:rFonts w:ascii="Arial" w:eastAsia="Times New Roman" w:hAnsi="Arial" w:cs="Arial"/>
          <w:color w:val="000000"/>
          <w:kern w:val="0"/>
          <w:sz w:val="20"/>
          <w:szCs w:val="20"/>
          <w:lang w:eastAsia="en-IN"/>
          <w14:ligatures w14:val="none"/>
        </w:rPr>
        <w:t>DoS.CO.CSITEG</w:t>
      </w:r>
      <w:proofErr w:type="spellEnd"/>
      <w:r w:rsidRPr="005C19BB">
        <w:rPr>
          <w:rFonts w:ascii="Arial" w:eastAsia="Times New Roman" w:hAnsi="Arial" w:cs="Arial"/>
          <w:color w:val="000000"/>
          <w:kern w:val="0"/>
          <w:sz w:val="20"/>
          <w:szCs w:val="20"/>
          <w:lang w:eastAsia="en-IN"/>
          <w14:ligatures w14:val="none"/>
        </w:rPr>
        <w:t>/SEC.7/31.01.015/2023-24</w:t>
      </w:r>
    </w:p>
    <w:p w14:paraId="7C18C874" w14:textId="77777777" w:rsidR="005C19BB" w:rsidRPr="005C19BB" w:rsidRDefault="005C19BB" w:rsidP="005C19BB">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November 7, 2023</w:t>
      </w:r>
    </w:p>
    <w:p w14:paraId="5DCEF7D6" w14:textId="77777777" w:rsidR="005C19BB" w:rsidRPr="005C19BB" w:rsidRDefault="005C19BB" w:rsidP="005C19BB">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The Chairman/Managing Director/Chief Executive Officer</w:t>
      </w:r>
      <w:r w:rsidRPr="005C19BB">
        <w:rPr>
          <w:rFonts w:ascii="Arial" w:eastAsia="Times New Roman" w:hAnsi="Arial" w:cs="Arial"/>
          <w:color w:val="000000"/>
          <w:kern w:val="0"/>
          <w:sz w:val="20"/>
          <w:szCs w:val="20"/>
          <w:lang w:eastAsia="en-IN"/>
          <w14:ligatures w14:val="none"/>
        </w:rPr>
        <w:br/>
        <w:t>Scheduled Commercial Banks (excluding Regional Rural Banks);</w:t>
      </w:r>
      <w:r w:rsidRPr="005C19BB">
        <w:rPr>
          <w:rFonts w:ascii="Arial" w:eastAsia="Times New Roman" w:hAnsi="Arial" w:cs="Arial"/>
          <w:color w:val="000000"/>
          <w:kern w:val="0"/>
          <w:sz w:val="20"/>
          <w:szCs w:val="20"/>
          <w:lang w:eastAsia="en-IN"/>
          <w14:ligatures w14:val="none"/>
        </w:rPr>
        <w:br/>
        <w:t>Small Finance Banks; Payments Banks;</w:t>
      </w:r>
      <w:r w:rsidRPr="005C19BB">
        <w:rPr>
          <w:rFonts w:ascii="Arial" w:eastAsia="Times New Roman" w:hAnsi="Arial" w:cs="Arial"/>
          <w:color w:val="000000"/>
          <w:kern w:val="0"/>
          <w:sz w:val="20"/>
          <w:szCs w:val="20"/>
          <w:lang w:eastAsia="en-IN"/>
          <w14:ligatures w14:val="none"/>
        </w:rPr>
        <w:br/>
        <w:t>Non-Banking Financial Companies;</w:t>
      </w:r>
      <w:r w:rsidRPr="005C19BB">
        <w:rPr>
          <w:rFonts w:ascii="Arial" w:eastAsia="Times New Roman" w:hAnsi="Arial" w:cs="Arial"/>
          <w:color w:val="000000"/>
          <w:kern w:val="0"/>
          <w:sz w:val="20"/>
          <w:szCs w:val="20"/>
          <w:lang w:eastAsia="en-IN"/>
          <w14:ligatures w14:val="none"/>
        </w:rPr>
        <w:br/>
        <w:t>Credit Information Companies; and</w:t>
      </w:r>
      <w:r w:rsidRPr="005C19BB">
        <w:rPr>
          <w:rFonts w:ascii="Arial" w:eastAsia="Times New Roman" w:hAnsi="Arial" w:cs="Arial"/>
          <w:color w:val="000000"/>
          <w:kern w:val="0"/>
          <w:sz w:val="20"/>
          <w:szCs w:val="20"/>
          <w:lang w:eastAsia="en-IN"/>
          <w14:ligatures w14:val="none"/>
        </w:rPr>
        <w:br/>
        <w:t xml:space="preserve">All India Financial Institutions (EXIM Bank, NABARD, </w:t>
      </w:r>
      <w:proofErr w:type="spellStart"/>
      <w:r w:rsidRPr="005C19BB">
        <w:rPr>
          <w:rFonts w:ascii="Arial" w:eastAsia="Times New Roman" w:hAnsi="Arial" w:cs="Arial"/>
          <w:color w:val="000000"/>
          <w:kern w:val="0"/>
          <w:sz w:val="20"/>
          <w:szCs w:val="20"/>
          <w:lang w:eastAsia="en-IN"/>
          <w14:ligatures w14:val="none"/>
        </w:rPr>
        <w:t>NaBFID</w:t>
      </w:r>
      <w:proofErr w:type="spellEnd"/>
      <w:r w:rsidRPr="005C19BB">
        <w:rPr>
          <w:rFonts w:ascii="Arial" w:eastAsia="Times New Roman" w:hAnsi="Arial" w:cs="Arial"/>
          <w:color w:val="000000"/>
          <w:kern w:val="0"/>
          <w:sz w:val="20"/>
          <w:szCs w:val="20"/>
          <w:lang w:eastAsia="en-IN"/>
          <w14:ligatures w14:val="none"/>
        </w:rPr>
        <w:t>, NHB and SIDBI)</w:t>
      </w:r>
    </w:p>
    <w:p w14:paraId="6806A395" w14:textId="77777777" w:rsidR="005C19BB" w:rsidRPr="005C19BB" w:rsidRDefault="005C19BB" w:rsidP="005C19B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Madam/Dear Sir,</w:t>
      </w:r>
    </w:p>
    <w:p w14:paraId="61BE78F9" w14:textId="77777777" w:rsidR="005C19BB" w:rsidRPr="005C19BB" w:rsidRDefault="005C19BB" w:rsidP="005C19BB">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5C19BB">
        <w:rPr>
          <w:rFonts w:ascii="Arial" w:eastAsia="Times New Roman" w:hAnsi="Arial" w:cs="Arial"/>
          <w:b/>
          <w:bCs/>
          <w:color w:val="000000"/>
          <w:kern w:val="0"/>
          <w:sz w:val="20"/>
          <w:szCs w:val="20"/>
          <w:lang w:eastAsia="en-IN"/>
          <w14:ligatures w14:val="none"/>
        </w:rPr>
        <w:t>Master Direction on Information Technology Governance, Risk, Controls and Assurance Practices</w:t>
      </w:r>
    </w:p>
    <w:p w14:paraId="6333CD3C" w14:textId="77777777" w:rsidR="005C19BB" w:rsidRPr="005C19BB" w:rsidRDefault="005C19BB" w:rsidP="005C19B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Please refer to paragraph IV (8) of the </w:t>
      </w:r>
      <w:hyperlink r:id="rId52" w:tgtFrame="_blank" w:history="1">
        <w:r w:rsidRPr="005C19BB">
          <w:rPr>
            <w:rFonts w:ascii="Arial" w:eastAsia="Times New Roman" w:hAnsi="Arial" w:cs="Arial"/>
            <w:color w:val="0000FF"/>
            <w:kern w:val="0"/>
            <w:sz w:val="20"/>
            <w:szCs w:val="20"/>
            <w:u w:val="single"/>
            <w:lang w:eastAsia="en-IN"/>
            <w14:ligatures w14:val="none"/>
          </w:rPr>
          <w:t>Statement on Developmental and Regulatory Policies</w:t>
        </w:r>
      </w:hyperlink>
      <w:r w:rsidRPr="005C19BB">
        <w:rPr>
          <w:rFonts w:ascii="Arial" w:eastAsia="Times New Roman" w:hAnsi="Arial" w:cs="Arial"/>
          <w:color w:val="000000"/>
          <w:kern w:val="0"/>
          <w:sz w:val="20"/>
          <w:szCs w:val="20"/>
          <w:lang w:eastAsia="en-IN"/>
          <w14:ligatures w14:val="none"/>
        </w:rPr>
        <w:t> released with the </w:t>
      </w:r>
      <w:hyperlink r:id="rId53" w:tgtFrame="_blank" w:history="1">
        <w:r w:rsidRPr="005C19BB">
          <w:rPr>
            <w:rFonts w:ascii="Arial" w:eastAsia="Times New Roman" w:hAnsi="Arial" w:cs="Arial"/>
            <w:color w:val="0000FF"/>
            <w:kern w:val="0"/>
            <w:sz w:val="20"/>
            <w:szCs w:val="20"/>
            <w:u w:val="single"/>
            <w:lang w:eastAsia="en-IN"/>
            <w14:ligatures w14:val="none"/>
          </w:rPr>
          <w:t>Bi-monthly Monetary Policy Statement 2021-22 on February 10, 2022</w:t>
        </w:r>
      </w:hyperlink>
      <w:r w:rsidRPr="005C19BB">
        <w:rPr>
          <w:rFonts w:ascii="Arial" w:eastAsia="Times New Roman" w:hAnsi="Arial" w:cs="Arial"/>
          <w:color w:val="000000"/>
          <w:kern w:val="0"/>
          <w:sz w:val="20"/>
          <w:szCs w:val="20"/>
          <w:lang w:eastAsia="en-IN"/>
          <w14:ligatures w14:val="none"/>
        </w:rPr>
        <w:t>, wherein it was announced that draft guidelines, updating and consolidating the instructions relating to Information Technology (IT) Governance and Controls, Business Continuity Management and Information Systems Audit, will be issued by the Reserve Bank of India.</w:t>
      </w:r>
    </w:p>
    <w:p w14:paraId="55555C66" w14:textId="77777777" w:rsidR="005C19BB" w:rsidRPr="005C19BB" w:rsidRDefault="005C19BB" w:rsidP="005C19B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2. Accordingly, a draft Master Direction on the subject was published in </w:t>
      </w:r>
      <w:hyperlink r:id="rId54" w:tgtFrame="_blank" w:history="1">
        <w:r w:rsidRPr="005C19BB">
          <w:rPr>
            <w:rFonts w:ascii="Arial" w:eastAsia="Times New Roman" w:hAnsi="Arial" w:cs="Arial"/>
            <w:color w:val="0000FF"/>
            <w:kern w:val="0"/>
            <w:sz w:val="20"/>
            <w:szCs w:val="20"/>
            <w:u w:val="single"/>
            <w:lang w:eastAsia="en-IN"/>
            <w14:ligatures w14:val="none"/>
          </w:rPr>
          <w:t>October 2022</w:t>
        </w:r>
      </w:hyperlink>
      <w:r w:rsidRPr="005C19BB">
        <w:rPr>
          <w:rFonts w:ascii="Arial" w:eastAsia="Times New Roman" w:hAnsi="Arial" w:cs="Arial"/>
          <w:color w:val="000000"/>
          <w:kern w:val="0"/>
          <w:sz w:val="20"/>
          <w:szCs w:val="20"/>
          <w:lang w:eastAsia="en-IN"/>
          <w14:ligatures w14:val="none"/>
        </w:rPr>
        <w:t> seeking public comments.  Based on feedback received, the final Reserve Bank of India (Information Technology Governance, Risk, Controls and Assurance Practices) Directions, 2023 are enclosed herewith.</w:t>
      </w:r>
    </w:p>
    <w:p w14:paraId="46C69A95" w14:textId="77777777" w:rsidR="005C19BB" w:rsidRPr="005C19BB" w:rsidRDefault="005C19BB" w:rsidP="005C19B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Yours faithfully,</w:t>
      </w:r>
    </w:p>
    <w:p w14:paraId="4C2524B0" w14:textId="77777777" w:rsidR="005C19BB" w:rsidRPr="005C19BB" w:rsidRDefault="005C19BB" w:rsidP="005C19B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C19BB">
        <w:rPr>
          <w:rFonts w:ascii="Arial" w:eastAsia="Times New Roman" w:hAnsi="Arial" w:cs="Arial"/>
          <w:color w:val="000000"/>
          <w:kern w:val="0"/>
          <w:sz w:val="20"/>
          <w:szCs w:val="20"/>
          <w:lang w:eastAsia="en-IN"/>
          <w14:ligatures w14:val="none"/>
        </w:rPr>
        <w:t>(</w:t>
      </w:r>
      <w:proofErr w:type="spellStart"/>
      <w:r w:rsidRPr="005C19BB">
        <w:rPr>
          <w:rFonts w:ascii="Arial" w:eastAsia="Times New Roman" w:hAnsi="Arial" w:cs="Arial"/>
          <w:color w:val="000000"/>
          <w:kern w:val="0"/>
          <w:sz w:val="20"/>
          <w:szCs w:val="20"/>
          <w:lang w:eastAsia="en-IN"/>
          <w14:ligatures w14:val="none"/>
        </w:rPr>
        <w:t>T.K.Rajan</w:t>
      </w:r>
      <w:proofErr w:type="spellEnd"/>
      <w:r w:rsidRPr="005C19BB">
        <w:rPr>
          <w:rFonts w:ascii="Arial" w:eastAsia="Times New Roman" w:hAnsi="Arial" w:cs="Arial"/>
          <w:color w:val="000000"/>
          <w:kern w:val="0"/>
          <w:sz w:val="20"/>
          <w:szCs w:val="20"/>
          <w:lang w:eastAsia="en-IN"/>
          <w14:ligatures w14:val="none"/>
        </w:rPr>
        <w:t>)</w:t>
      </w:r>
      <w:r w:rsidRPr="005C19BB">
        <w:rPr>
          <w:rFonts w:ascii="Arial" w:eastAsia="Times New Roman" w:hAnsi="Arial" w:cs="Arial"/>
          <w:color w:val="000000"/>
          <w:kern w:val="0"/>
          <w:sz w:val="20"/>
          <w:szCs w:val="20"/>
          <w:lang w:eastAsia="en-IN"/>
          <w14:ligatures w14:val="none"/>
        </w:rPr>
        <w:br/>
        <w:t>Chief General Manager</w:t>
      </w:r>
    </w:p>
    <w:p w14:paraId="47FD569E" w14:textId="77777777" w:rsidR="005C19BB" w:rsidRPr="005C19BB" w:rsidRDefault="005C19BB" w:rsidP="005C19B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roofErr w:type="spellStart"/>
      <w:r w:rsidRPr="005C19BB">
        <w:rPr>
          <w:rFonts w:ascii="Arial" w:eastAsia="Times New Roman" w:hAnsi="Arial" w:cs="Arial"/>
          <w:color w:val="000000"/>
          <w:kern w:val="0"/>
          <w:sz w:val="20"/>
          <w:szCs w:val="20"/>
          <w:lang w:eastAsia="en-IN"/>
          <w14:ligatures w14:val="none"/>
        </w:rPr>
        <w:t>Encl</w:t>
      </w:r>
      <w:proofErr w:type="spellEnd"/>
      <w:r w:rsidRPr="005C19BB">
        <w:rPr>
          <w:rFonts w:ascii="Arial" w:eastAsia="Times New Roman" w:hAnsi="Arial" w:cs="Arial"/>
          <w:color w:val="000000"/>
          <w:kern w:val="0"/>
          <w:sz w:val="20"/>
          <w:szCs w:val="20"/>
          <w:lang w:eastAsia="en-IN"/>
          <w14:ligatures w14:val="none"/>
        </w:rPr>
        <w:t>: Reserve Bank of India (Information Technology Governance, Risk, Controls and Assurance Practices) Directions, 2023</w:t>
      </w:r>
    </w:p>
    <w:p w14:paraId="4C7B8B5F" w14:textId="0686B3DB" w:rsidR="005C19BB" w:rsidRPr="00CF3A6C" w:rsidRDefault="000729E7" w:rsidP="005C19BB">
      <w:pPr>
        <w:spacing w:before="100" w:beforeAutospacing="1" w:after="100" w:afterAutospacing="1" w:line="240" w:lineRule="auto"/>
        <w:jc w:val="both"/>
        <w:rPr>
          <w:rFonts w:eastAsia="Times New Roman" w:cstheme="minorHAnsi"/>
          <w:color w:val="000000"/>
          <w:kern w:val="0"/>
          <w:sz w:val="24"/>
          <w:szCs w:val="24"/>
          <w:lang w:eastAsia="en-IN"/>
          <w14:ligatures w14:val="none"/>
        </w:rPr>
      </w:pPr>
      <w:r w:rsidRPr="00CF3A6C">
        <w:rPr>
          <w:rFonts w:eastAsia="Times New Roman" w:cstheme="minorHAnsi"/>
          <w:color w:val="000000"/>
          <w:kern w:val="0"/>
          <w:sz w:val="24"/>
          <w:szCs w:val="24"/>
          <w:lang w:eastAsia="en-IN"/>
          <w14:ligatures w14:val="none"/>
        </w:rPr>
        <w:t>For more details, Kindly refer:</w:t>
      </w:r>
    </w:p>
    <w:p w14:paraId="1D105838" w14:textId="737F611A" w:rsidR="005C19BB" w:rsidRPr="004B7CCA" w:rsidRDefault="005C19BB" w:rsidP="005C19BB">
      <w:pPr>
        <w:spacing w:before="100" w:beforeAutospacing="1" w:after="100" w:afterAutospacing="1" w:line="240" w:lineRule="auto"/>
        <w:jc w:val="both"/>
        <w:rPr>
          <w:rFonts w:eastAsia="Times New Roman" w:cstheme="minorHAnsi"/>
          <w:color w:val="000000"/>
          <w:kern w:val="0"/>
          <w:sz w:val="24"/>
          <w:szCs w:val="24"/>
          <w:lang w:eastAsia="en-IN"/>
          <w14:ligatures w14:val="none"/>
        </w:rPr>
      </w:pPr>
      <w:hyperlink r:id="rId55" w:history="1">
        <w:r w:rsidRPr="004B7CCA">
          <w:rPr>
            <w:rStyle w:val="Hyperlink"/>
            <w:rFonts w:eastAsia="Times New Roman" w:cstheme="minorHAnsi"/>
            <w:kern w:val="0"/>
            <w:sz w:val="24"/>
            <w:szCs w:val="24"/>
            <w:lang w:eastAsia="en-IN"/>
            <w14:ligatures w14:val="none"/>
          </w:rPr>
          <w:t>https://rbi.org.in/Scripts/NotificationUser.aspx?Id=12562&amp;Mode=0</w:t>
        </w:r>
      </w:hyperlink>
    </w:p>
    <w:p w14:paraId="30CE3105" w14:textId="78BD280A" w:rsidR="005C19BB" w:rsidRDefault="005C19BB" w:rsidP="005C19BB">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0BB602BE" w14:textId="6093F748" w:rsidR="005C19BB" w:rsidRDefault="005C19BB" w:rsidP="005C19BB">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27827134" w14:textId="523DAEE2" w:rsidR="005C19BB" w:rsidRDefault="005C19BB" w:rsidP="005C19BB">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236AE986" w14:textId="578D6FDA" w:rsidR="005C19BB" w:rsidRDefault="005C19BB" w:rsidP="005C19BB">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6808E48C" w14:textId="3834AD58" w:rsidR="005C19BB" w:rsidRDefault="005C19BB" w:rsidP="005C19BB">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689D2252" w14:textId="59307FE4" w:rsidR="005C19BB" w:rsidRDefault="005C19BB" w:rsidP="005C19BB">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34A73934" w14:textId="4456C8CD" w:rsidR="005C19BB" w:rsidRDefault="005C19BB" w:rsidP="005C19BB">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r w:rsidRPr="005C19BB">
        <w:rPr>
          <w:rFonts w:eastAsia="Times New Roman" w:cstheme="minorHAnsi"/>
          <w:b/>
          <w:color w:val="000000"/>
          <w:kern w:val="0"/>
          <w:sz w:val="24"/>
          <w:szCs w:val="24"/>
          <w:lang w:eastAsia="en-IN"/>
          <w14:ligatures w14:val="none"/>
        </w:rPr>
        <w:lastRenderedPageBreak/>
        <w:t>Regulatory measures towards consumer credit and bank credit to NBFCs</w:t>
      </w:r>
    </w:p>
    <w:p w14:paraId="1DCCE477" w14:textId="77777777" w:rsidR="00221123" w:rsidRPr="00221123" w:rsidRDefault="00221123" w:rsidP="0022112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RBI/2023-24/85</w:t>
      </w:r>
      <w:r w:rsidRPr="00221123">
        <w:rPr>
          <w:rFonts w:ascii="Arial" w:eastAsia="Times New Roman" w:hAnsi="Arial" w:cs="Arial"/>
          <w:color w:val="000000"/>
          <w:kern w:val="0"/>
          <w:sz w:val="20"/>
          <w:szCs w:val="20"/>
          <w:lang w:eastAsia="en-IN"/>
          <w14:ligatures w14:val="none"/>
        </w:rPr>
        <w:br/>
        <w:t>DOR.STR.REC.57/21.06.001/2023-24</w:t>
      </w:r>
    </w:p>
    <w:p w14:paraId="58655AAF" w14:textId="77777777" w:rsidR="00221123" w:rsidRPr="00221123" w:rsidRDefault="00221123" w:rsidP="00221123">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November 16, 2023</w:t>
      </w:r>
    </w:p>
    <w:p w14:paraId="4354C0EB" w14:textId="77777777" w:rsidR="00221123" w:rsidRPr="00221123" w:rsidRDefault="00221123" w:rsidP="00221123">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Commercial Banks (including Small Finance Banks, Local Area Banks and Regional Rural Banks)</w:t>
      </w:r>
      <w:r w:rsidRPr="00221123">
        <w:rPr>
          <w:rFonts w:ascii="Arial" w:eastAsia="Times New Roman" w:hAnsi="Arial" w:cs="Arial"/>
          <w:color w:val="000000"/>
          <w:kern w:val="0"/>
          <w:sz w:val="20"/>
          <w:szCs w:val="20"/>
          <w:lang w:eastAsia="en-IN"/>
          <w14:ligatures w14:val="none"/>
        </w:rPr>
        <w:br/>
        <w:t>Non-Banking Financial Companies (including HFCs)</w:t>
      </w:r>
    </w:p>
    <w:p w14:paraId="2579CCF1" w14:textId="77777777" w:rsidR="00221123" w:rsidRPr="00221123" w:rsidRDefault="00221123" w:rsidP="0022112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Madam/Dear Sir,</w:t>
      </w:r>
    </w:p>
    <w:p w14:paraId="4CB7FDA9" w14:textId="77777777" w:rsidR="00221123" w:rsidRPr="00221123" w:rsidRDefault="00221123" w:rsidP="00221123">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221123">
        <w:rPr>
          <w:rFonts w:ascii="Arial" w:eastAsia="Times New Roman" w:hAnsi="Arial" w:cs="Arial"/>
          <w:b/>
          <w:bCs/>
          <w:color w:val="000000"/>
          <w:kern w:val="0"/>
          <w:sz w:val="20"/>
          <w:szCs w:val="20"/>
          <w:lang w:eastAsia="en-IN"/>
          <w14:ligatures w14:val="none"/>
        </w:rPr>
        <w:t>Regulatory measures towards consumer credit and bank credit to NBFCs</w:t>
      </w:r>
    </w:p>
    <w:p w14:paraId="498B1A81" w14:textId="77777777" w:rsidR="00221123" w:rsidRPr="00221123" w:rsidRDefault="00221123" w:rsidP="0022112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Please refer to </w:t>
      </w:r>
      <w:hyperlink r:id="rId56" w:tgtFrame="_blank" w:history="1">
        <w:r w:rsidRPr="00221123">
          <w:rPr>
            <w:rFonts w:ascii="Arial" w:eastAsia="Times New Roman" w:hAnsi="Arial" w:cs="Arial"/>
            <w:color w:val="0000FF"/>
            <w:kern w:val="0"/>
            <w:sz w:val="20"/>
            <w:szCs w:val="20"/>
            <w:u w:val="single"/>
            <w:lang w:eastAsia="en-IN"/>
            <w14:ligatures w14:val="none"/>
          </w:rPr>
          <w:t>Governor’s Statement dated October 6, 2023</w:t>
        </w:r>
      </w:hyperlink>
      <w:r w:rsidRPr="00221123">
        <w:rPr>
          <w:rFonts w:ascii="Arial" w:eastAsia="Times New Roman" w:hAnsi="Arial" w:cs="Arial"/>
          <w:color w:val="000000"/>
          <w:kern w:val="0"/>
          <w:sz w:val="20"/>
          <w:szCs w:val="20"/>
          <w:lang w:eastAsia="en-IN"/>
          <w14:ligatures w14:val="none"/>
        </w:rPr>
        <w:t> flagging the high growth in certain components of consumer credit and advising banks and non-banking financial companies (NBFCs) to strengthen their internal surveillance mechanisms, address the build-up of risks, if any, and institute suitable safeguards, in their own interest. The high growth seen in consumer credit and increasing dependency of NBFCs on bank borrowings were also highlighted by Governor in the interactions with MD/CEOs of major banks and large NBFCs in July and August 2023, respectively.</w:t>
      </w:r>
    </w:p>
    <w:p w14:paraId="7884A618" w14:textId="77777777" w:rsidR="00221123" w:rsidRPr="00221123" w:rsidRDefault="00221123" w:rsidP="0022112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2. In this context, it has been decided to effect the following measures as under:</w:t>
      </w:r>
    </w:p>
    <w:p w14:paraId="13E4E1C1" w14:textId="77777777" w:rsidR="00221123" w:rsidRPr="00221123" w:rsidRDefault="00221123" w:rsidP="00221123">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221123">
        <w:rPr>
          <w:rFonts w:ascii="Arial" w:eastAsia="Times New Roman" w:hAnsi="Arial" w:cs="Arial"/>
          <w:b/>
          <w:bCs/>
          <w:color w:val="000000"/>
          <w:kern w:val="0"/>
          <w:sz w:val="20"/>
          <w:szCs w:val="20"/>
          <w:lang w:eastAsia="en-IN"/>
          <w14:ligatures w14:val="none"/>
        </w:rPr>
        <w:t>A. Consumer credit exposure</w:t>
      </w:r>
    </w:p>
    <w:p w14:paraId="4EB5667B" w14:textId="77777777" w:rsidR="00221123" w:rsidRPr="00221123" w:rsidRDefault="00221123" w:rsidP="0022112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u w:val="single"/>
          <w:lang w:eastAsia="en-IN"/>
          <w14:ligatures w14:val="none"/>
        </w:rPr>
        <w:t>(a) Consumer credit exposure of commercial banks</w:t>
      </w:r>
    </w:p>
    <w:p w14:paraId="20294D75" w14:textId="77777777" w:rsidR="00221123" w:rsidRPr="00221123" w:rsidRDefault="00221123" w:rsidP="0022112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As per extant instructions applicable to commercial banks</w:t>
      </w:r>
      <w:hyperlink r:id="rId57" w:anchor="F1" w:history="1">
        <w:r w:rsidRPr="00221123">
          <w:rPr>
            <w:rFonts w:ascii="Arial" w:eastAsia="Times New Roman" w:hAnsi="Arial" w:cs="Arial"/>
            <w:color w:val="0000FF"/>
            <w:kern w:val="0"/>
            <w:sz w:val="15"/>
            <w:szCs w:val="15"/>
            <w:u w:val="single"/>
            <w:vertAlign w:val="superscript"/>
            <w:lang w:eastAsia="en-IN"/>
            <w14:ligatures w14:val="none"/>
          </w:rPr>
          <w:t>1</w:t>
        </w:r>
      </w:hyperlink>
      <w:r w:rsidRPr="00221123">
        <w:rPr>
          <w:rFonts w:ascii="Arial" w:eastAsia="Times New Roman" w:hAnsi="Arial" w:cs="Arial"/>
          <w:color w:val="000000"/>
          <w:kern w:val="0"/>
          <w:sz w:val="20"/>
          <w:szCs w:val="20"/>
          <w:lang w:eastAsia="en-IN"/>
          <w14:ligatures w14:val="none"/>
        </w:rPr>
        <w:t>, consumer credit attracts a risk weight of 100%. On a review, it has been decided to increase the risk weights in respect of consumer credit exposure of commercial banks (outstanding as well as new), including personal loans, but excluding housing loans, education loans, vehicle loans and loans secured by gold and gold jewellery, by 25 percentage points to 125%.</w:t>
      </w:r>
    </w:p>
    <w:p w14:paraId="6B8D53FF" w14:textId="77777777" w:rsidR="00221123" w:rsidRPr="00221123" w:rsidRDefault="00221123" w:rsidP="0022112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u w:val="single"/>
          <w:lang w:eastAsia="en-IN"/>
          <w14:ligatures w14:val="none"/>
        </w:rPr>
        <w:t>(b) Consumer credit exposure of NBFCs</w:t>
      </w:r>
    </w:p>
    <w:p w14:paraId="27DC5D51" w14:textId="77777777" w:rsidR="00221123" w:rsidRPr="00221123" w:rsidRDefault="00221123" w:rsidP="0022112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In terms of extant norms, NBFCs’ loan exposures generally attract a risk weight of 100%</w:t>
      </w:r>
      <w:hyperlink r:id="rId58" w:anchor="F2" w:history="1">
        <w:r w:rsidRPr="00221123">
          <w:rPr>
            <w:rFonts w:ascii="Arial" w:eastAsia="Times New Roman" w:hAnsi="Arial" w:cs="Arial"/>
            <w:color w:val="0000FF"/>
            <w:kern w:val="0"/>
            <w:sz w:val="15"/>
            <w:szCs w:val="15"/>
            <w:u w:val="single"/>
            <w:vertAlign w:val="superscript"/>
            <w:lang w:eastAsia="en-IN"/>
            <w14:ligatures w14:val="none"/>
          </w:rPr>
          <w:t>2</w:t>
        </w:r>
      </w:hyperlink>
      <w:r w:rsidRPr="00221123">
        <w:rPr>
          <w:rFonts w:ascii="Arial" w:eastAsia="Times New Roman" w:hAnsi="Arial" w:cs="Arial"/>
          <w:color w:val="000000"/>
          <w:kern w:val="0"/>
          <w:sz w:val="20"/>
          <w:szCs w:val="20"/>
          <w:lang w:eastAsia="en-IN"/>
          <w14:ligatures w14:val="none"/>
        </w:rPr>
        <w:t>. On a review, it has been decided that the consumer credit exposure of NBFCs (outstanding as well as new) categorised as retail loans, excluding housing loans, educational loans, vehicle loans, loans against gold jewellery and microfinance/SHG loans, shall attract a risk weight of 125%.</w:t>
      </w:r>
    </w:p>
    <w:p w14:paraId="4BF4B3AF" w14:textId="77777777" w:rsidR="00221123" w:rsidRPr="00221123" w:rsidRDefault="00221123" w:rsidP="0022112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u w:val="single"/>
          <w:lang w:eastAsia="en-IN"/>
          <w14:ligatures w14:val="none"/>
        </w:rPr>
        <w:t>(c) Credit card receivables</w:t>
      </w:r>
    </w:p>
    <w:p w14:paraId="059E1074" w14:textId="77777777" w:rsidR="00221123" w:rsidRPr="00221123" w:rsidRDefault="00221123" w:rsidP="0022112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As per extant instructions, credit card receivables of scheduled commercial banks (SCBs) attract a risk weight of 125%</w:t>
      </w:r>
      <w:hyperlink r:id="rId59" w:anchor="F3" w:history="1">
        <w:r w:rsidRPr="00221123">
          <w:rPr>
            <w:rFonts w:ascii="Arial" w:eastAsia="Times New Roman" w:hAnsi="Arial" w:cs="Arial"/>
            <w:color w:val="0000FF"/>
            <w:kern w:val="0"/>
            <w:sz w:val="15"/>
            <w:szCs w:val="15"/>
            <w:u w:val="single"/>
            <w:vertAlign w:val="superscript"/>
            <w:lang w:eastAsia="en-IN"/>
            <w14:ligatures w14:val="none"/>
          </w:rPr>
          <w:t>3</w:t>
        </w:r>
      </w:hyperlink>
      <w:r w:rsidRPr="00221123">
        <w:rPr>
          <w:rFonts w:ascii="Arial" w:eastAsia="Times New Roman" w:hAnsi="Arial" w:cs="Arial"/>
          <w:color w:val="000000"/>
          <w:kern w:val="0"/>
          <w:sz w:val="20"/>
          <w:szCs w:val="20"/>
          <w:lang w:eastAsia="en-IN"/>
          <w14:ligatures w14:val="none"/>
        </w:rPr>
        <w:t> while that of NBFCs attract a risk weight of 100%</w:t>
      </w:r>
      <w:hyperlink r:id="rId60" w:anchor="F4" w:history="1">
        <w:r w:rsidRPr="00221123">
          <w:rPr>
            <w:rFonts w:ascii="Arial" w:eastAsia="Times New Roman" w:hAnsi="Arial" w:cs="Arial"/>
            <w:color w:val="0000FF"/>
            <w:kern w:val="0"/>
            <w:sz w:val="15"/>
            <w:szCs w:val="15"/>
            <w:u w:val="single"/>
            <w:vertAlign w:val="superscript"/>
            <w:lang w:eastAsia="en-IN"/>
            <w14:ligatures w14:val="none"/>
          </w:rPr>
          <w:t>4</w:t>
        </w:r>
      </w:hyperlink>
      <w:r w:rsidRPr="00221123">
        <w:rPr>
          <w:rFonts w:ascii="Arial" w:eastAsia="Times New Roman" w:hAnsi="Arial" w:cs="Arial"/>
          <w:color w:val="000000"/>
          <w:kern w:val="0"/>
          <w:sz w:val="20"/>
          <w:szCs w:val="20"/>
          <w:lang w:eastAsia="en-IN"/>
          <w14:ligatures w14:val="none"/>
        </w:rPr>
        <w:t>. On a review, it has been decided to increase the risk weights on such exposures by 25 percentage points to 150% and 125% for SCBs and NBFCs respectively.</w:t>
      </w:r>
    </w:p>
    <w:p w14:paraId="1BE9D762" w14:textId="77777777" w:rsidR="00221123" w:rsidRPr="00221123" w:rsidRDefault="00221123" w:rsidP="00221123">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221123">
        <w:rPr>
          <w:rFonts w:ascii="Arial" w:eastAsia="Times New Roman" w:hAnsi="Arial" w:cs="Arial"/>
          <w:b/>
          <w:bCs/>
          <w:color w:val="000000"/>
          <w:kern w:val="0"/>
          <w:sz w:val="20"/>
          <w:szCs w:val="20"/>
          <w:lang w:eastAsia="en-IN"/>
          <w14:ligatures w14:val="none"/>
        </w:rPr>
        <w:t>B. Bank credit to NBFCs</w:t>
      </w:r>
    </w:p>
    <w:p w14:paraId="74F888A4" w14:textId="77777777" w:rsidR="00221123" w:rsidRPr="00221123" w:rsidRDefault="00221123" w:rsidP="0022112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In terms of extant norms, exposures of SCBs to NBFCs, excluding core investment companies, are risk weighted as per the ratings assigned by accredited external credit assessment institutions (ECAI)</w:t>
      </w:r>
      <w:hyperlink r:id="rId61" w:anchor="F5" w:history="1">
        <w:r w:rsidRPr="00221123">
          <w:rPr>
            <w:rFonts w:ascii="Arial" w:eastAsia="Times New Roman" w:hAnsi="Arial" w:cs="Arial"/>
            <w:color w:val="0000FF"/>
            <w:kern w:val="0"/>
            <w:sz w:val="15"/>
            <w:szCs w:val="15"/>
            <w:u w:val="single"/>
            <w:vertAlign w:val="superscript"/>
            <w:lang w:eastAsia="en-IN"/>
            <w14:ligatures w14:val="none"/>
          </w:rPr>
          <w:t>5</w:t>
        </w:r>
      </w:hyperlink>
      <w:r w:rsidRPr="00221123">
        <w:rPr>
          <w:rFonts w:ascii="Arial" w:eastAsia="Times New Roman" w:hAnsi="Arial" w:cs="Arial"/>
          <w:color w:val="000000"/>
          <w:kern w:val="0"/>
          <w:sz w:val="20"/>
          <w:szCs w:val="20"/>
          <w:lang w:eastAsia="en-IN"/>
          <w14:ligatures w14:val="none"/>
        </w:rPr>
        <w:t>. On a review, it has been decided to increase the risk weights on such exposures of SCBs by 25 percentage points (over and above the risk weight associated with the given external rating) in all cases where the extant risk weight as per external rating of NBFCs is below 100%. For this purpose, loans to HFCs, and loans to NBFCs which are eligible for classification as priority sector in terms of the extant instructions shall be excluded.</w:t>
      </w:r>
    </w:p>
    <w:p w14:paraId="7D9EE4B3" w14:textId="77777777" w:rsidR="00221123" w:rsidRPr="00221123" w:rsidRDefault="00221123" w:rsidP="00221123">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221123">
        <w:rPr>
          <w:rFonts w:ascii="Arial" w:eastAsia="Times New Roman" w:hAnsi="Arial" w:cs="Arial"/>
          <w:b/>
          <w:bCs/>
          <w:color w:val="000000"/>
          <w:kern w:val="0"/>
          <w:sz w:val="20"/>
          <w:szCs w:val="20"/>
          <w:lang w:eastAsia="en-IN"/>
          <w14:ligatures w14:val="none"/>
        </w:rPr>
        <w:lastRenderedPageBreak/>
        <w:t>C. Strengthening credit standards</w:t>
      </w:r>
    </w:p>
    <w:p w14:paraId="53B8A13C" w14:textId="77777777" w:rsidR="00221123" w:rsidRPr="00221123" w:rsidRDefault="00221123" w:rsidP="0022112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(a) The REs shall review their extant sectoral exposure limits for consumer credit and put in place, if not already there, Board approved limits in respect of various sub-segments under consumer credit as may be considered necessary by the Boards as part of prudent risk management. In particular, limits shall be prescribed for all unsecured consumer credit exposures. The limits so fixed shall be strictly adhered to and monitored on an ongoing basis by the Risk Management Committee.</w:t>
      </w:r>
    </w:p>
    <w:p w14:paraId="6D0E5E86" w14:textId="77777777" w:rsidR="00221123" w:rsidRPr="00221123" w:rsidRDefault="00221123" w:rsidP="0022112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(b) All top-up loans extended by REs against movable assets which are inherently depreciating in nature, such as vehicles, shall be treated as unsecured loans for credit appraisal, prudential limits and exposure purposes.</w:t>
      </w:r>
    </w:p>
    <w:p w14:paraId="5B4D31D0" w14:textId="77777777" w:rsidR="00221123" w:rsidRPr="00221123" w:rsidRDefault="00221123" w:rsidP="0022112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3. The above instructions have been issued in exercise of the powers conferred by the Sections 21 and 35A of the Banking Regulation Act, 1949; Chapter IIIB of the Reserve Bank of India Act, 1934 and Sections 30A, 32 and 33 of the National Housing Bank Act, 1987.</w:t>
      </w:r>
    </w:p>
    <w:p w14:paraId="3B7CF193" w14:textId="77777777" w:rsidR="00221123" w:rsidRPr="00221123" w:rsidRDefault="00221123" w:rsidP="0022112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4. The above instructions, other than paragraph 2C(a), shall come into force with immediate effect. All REs shall endeavour to comply with the provisions at paragraph 2C(a) at the earliest, but in any case shall implement them by no later than February 29, 2024.</w:t>
      </w:r>
    </w:p>
    <w:p w14:paraId="434C554A" w14:textId="77777777" w:rsidR="00221123" w:rsidRPr="00221123" w:rsidRDefault="00221123" w:rsidP="0022112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Yours faithfully,</w:t>
      </w:r>
    </w:p>
    <w:p w14:paraId="6270DD42" w14:textId="1EE523F7" w:rsidR="00221123" w:rsidRDefault="00221123" w:rsidP="00221123">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w:t>
      </w:r>
      <w:proofErr w:type="spellStart"/>
      <w:r w:rsidRPr="00221123">
        <w:rPr>
          <w:rFonts w:ascii="Arial" w:eastAsia="Times New Roman" w:hAnsi="Arial" w:cs="Arial"/>
          <w:color w:val="000000"/>
          <w:kern w:val="0"/>
          <w:sz w:val="20"/>
          <w:szCs w:val="20"/>
          <w:lang w:eastAsia="en-IN"/>
          <w14:ligatures w14:val="none"/>
        </w:rPr>
        <w:t>Vaibhav</w:t>
      </w:r>
      <w:proofErr w:type="spellEnd"/>
      <w:r w:rsidRPr="00221123">
        <w:rPr>
          <w:rFonts w:ascii="Arial" w:eastAsia="Times New Roman" w:hAnsi="Arial" w:cs="Arial"/>
          <w:color w:val="000000"/>
          <w:kern w:val="0"/>
          <w:sz w:val="20"/>
          <w:szCs w:val="20"/>
          <w:lang w:eastAsia="en-IN"/>
          <w14:ligatures w14:val="none"/>
        </w:rPr>
        <w:t xml:space="preserve"> </w:t>
      </w:r>
      <w:proofErr w:type="spellStart"/>
      <w:r w:rsidRPr="00221123">
        <w:rPr>
          <w:rFonts w:ascii="Arial" w:eastAsia="Times New Roman" w:hAnsi="Arial" w:cs="Arial"/>
          <w:color w:val="000000"/>
          <w:kern w:val="0"/>
          <w:sz w:val="20"/>
          <w:szCs w:val="20"/>
          <w:lang w:eastAsia="en-IN"/>
          <w14:ligatures w14:val="none"/>
        </w:rPr>
        <w:t>Chaturvedi</w:t>
      </w:r>
      <w:proofErr w:type="spellEnd"/>
      <w:r w:rsidRPr="00221123">
        <w:rPr>
          <w:rFonts w:ascii="Arial" w:eastAsia="Times New Roman" w:hAnsi="Arial" w:cs="Arial"/>
          <w:color w:val="000000"/>
          <w:kern w:val="0"/>
          <w:sz w:val="20"/>
          <w:szCs w:val="20"/>
          <w:lang w:eastAsia="en-IN"/>
          <w14:ligatures w14:val="none"/>
        </w:rPr>
        <w:t>)</w:t>
      </w:r>
      <w:r w:rsidRPr="00221123">
        <w:rPr>
          <w:rFonts w:ascii="Arial" w:eastAsia="Times New Roman" w:hAnsi="Arial" w:cs="Arial"/>
          <w:color w:val="000000"/>
          <w:kern w:val="0"/>
          <w:sz w:val="20"/>
          <w:szCs w:val="20"/>
          <w:lang w:eastAsia="en-IN"/>
          <w14:ligatures w14:val="none"/>
        </w:rPr>
        <w:br/>
        <w:t>Chief General Manager</w:t>
      </w:r>
    </w:p>
    <w:p w14:paraId="57A17F4A" w14:textId="41646F9F" w:rsidR="00221123" w:rsidRDefault="000729E7" w:rsidP="00221123">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729E7">
        <w:rPr>
          <w:rFonts w:ascii="Arial" w:eastAsia="Times New Roman" w:hAnsi="Arial" w:cs="Arial"/>
          <w:color w:val="000000"/>
          <w:kern w:val="0"/>
          <w:sz w:val="20"/>
          <w:szCs w:val="20"/>
          <w:lang w:eastAsia="en-IN"/>
          <w14:ligatures w14:val="none"/>
        </w:rPr>
        <w:t>For more details, Kindly refer:</w:t>
      </w:r>
    </w:p>
    <w:p w14:paraId="4B32848F" w14:textId="2D9CEE6E" w:rsidR="00221123" w:rsidRDefault="00221123" w:rsidP="00221123">
      <w:pPr>
        <w:spacing w:before="100" w:beforeAutospacing="1" w:after="100" w:afterAutospacing="1" w:line="240" w:lineRule="auto"/>
        <w:rPr>
          <w:rFonts w:ascii="Arial" w:eastAsia="Times New Roman" w:hAnsi="Arial" w:cs="Arial"/>
          <w:color w:val="000000"/>
          <w:kern w:val="0"/>
          <w:sz w:val="20"/>
          <w:szCs w:val="20"/>
          <w:lang w:eastAsia="en-IN"/>
          <w14:ligatures w14:val="none"/>
        </w:rPr>
      </w:pPr>
      <w:hyperlink r:id="rId62" w:history="1">
        <w:r w:rsidRPr="00FC240A">
          <w:rPr>
            <w:rStyle w:val="Hyperlink"/>
            <w:rFonts w:ascii="Arial" w:eastAsia="Times New Roman" w:hAnsi="Arial" w:cs="Arial"/>
            <w:kern w:val="0"/>
            <w:sz w:val="20"/>
            <w:szCs w:val="20"/>
            <w:lang w:eastAsia="en-IN"/>
            <w14:ligatures w14:val="none"/>
          </w:rPr>
          <w:t>https://rbi.org.in/Scripts/NotificationUser.aspx?Id=12567&amp;Mode=0</w:t>
        </w:r>
      </w:hyperlink>
    </w:p>
    <w:p w14:paraId="2882E35D" w14:textId="7873B34C" w:rsidR="00221123" w:rsidRDefault="00221123" w:rsidP="00221123">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09B25370" w14:textId="1937A7A9" w:rsidR="00221123" w:rsidRDefault="00221123" w:rsidP="00221123">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0727CC2D" w14:textId="1CD07C4B" w:rsidR="00221123" w:rsidRDefault="00221123" w:rsidP="00221123">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053D0797" w14:textId="1158E421" w:rsidR="00221123" w:rsidRDefault="00221123" w:rsidP="00221123">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1A348947" w14:textId="6C83209D" w:rsidR="00221123" w:rsidRDefault="00221123" w:rsidP="00221123">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7D870D3C" w14:textId="4113ADB5" w:rsidR="00221123" w:rsidRDefault="00221123" w:rsidP="00221123">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2AFBDCC9" w14:textId="1B51D14E" w:rsidR="00221123" w:rsidRDefault="00221123" w:rsidP="00221123">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2CD75F59" w14:textId="5D71B425" w:rsidR="00221123" w:rsidRDefault="00221123" w:rsidP="00221123">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6E18CEF9" w14:textId="48C91700" w:rsidR="00221123" w:rsidRDefault="00221123" w:rsidP="00221123">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65842E3E" w14:textId="1AEEF929" w:rsidR="00221123" w:rsidRDefault="00221123" w:rsidP="00221123">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5CD95E4D" w14:textId="1A03A9F5" w:rsidR="00221123" w:rsidRDefault="00221123" w:rsidP="00221123">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199BEAC2" w14:textId="0D89C449" w:rsidR="00221123" w:rsidRDefault="00221123" w:rsidP="00221123">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2AF1C731" w14:textId="0AFBC513" w:rsidR="00221123" w:rsidRDefault="00221123" w:rsidP="00221123">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77C41BCD" w14:textId="0F1D34B2" w:rsidR="00221123" w:rsidRDefault="00221123" w:rsidP="00221123">
      <w:pPr>
        <w:spacing w:before="100" w:beforeAutospacing="1" w:after="100" w:afterAutospacing="1" w:line="240" w:lineRule="auto"/>
        <w:rPr>
          <w:rFonts w:eastAsia="Times New Roman" w:cstheme="minorHAnsi"/>
          <w:b/>
          <w:color w:val="000000"/>
          <w:kern w:val="0"/>
          <w:sz w:val="24"/>
          <w:szCs w:val="24"/>
          <w:lang w:eastAsia="en-IN"/>
          <w14:ligatures w14:val="none"/>
        </w:rPr>
      </w:pPr>
      <w:r w:rsidRPr="00221123">
        <w:rPr>
          <w:rFonts w:eastAsia="Times New Roman" w:cstheme="minorHAnsi"/>
          <w:b/>
          <w:color w:val="000000"/>
          <w:kern w:val="0"/>
          <w:sz w:val="24"/>
          <w:szCs w:val="24"/>
          <w:lang w:eastAsia="en-IN"/>
          <w14:ligatures w14:val="none"/>
        </w:rPr>
        <w:lastRenderedPageBreak/>
        <w:t>Investments in Alternative Investment Funds (AIFs)</w:t>
      </w:r>
    </w:p>
    <w:p w14:paraId="498413E2" w14:textId="77777777" w:rsidR="00221123" w:rsidRDefault="00221123" w:rsidP="00221123">
      <w:pPr>
        <w:pStyle w:val="NormalWeb"/>
        <w:jc w:val="both"/>
        <w:rPr>
          <w:rFonts w:ascii="Arial" w:hAnsi="Arial" w:cs="Arial"/>
          <w:color w:val="000000"/>
          <w:sz w:val="20"/>
          <w:szCs w:val="20"/>
        </w:rPr>
      </w:pPr>
      <w:r>
        <w:rPr>
          <w:rFonts w:ascii="Arial" w:hAnsi="Arial" w:cs="Arial"/>
          <w:color w:val="000000"/>
          <w:sz w:val="20"/>
          <w:szCs w:val="20"/>
        </w:rPr>
        <w:t>RBI/2023-24/90</w:t>
      </w:r>
      <w:r>
        <w:rPr>
          <w:rFonts w:ascii="Arial" w:hAnsi="Arial" w:cs="Arial"/>
          <w:color w:val="000000"/>
          <w:sz w:val="20"/>
          <w:szCs w:val="20"/>
        </w:rPr>
        <w:br/>
        <w:t>DOR.STR.REC.58/21.04.048/2023-24</w:t>
      </w:r>
    </w:p>
    <w:p w14:paraId="6AFBA828" w14:textId="77777777" w:rsidR="00221123" w:rsidRDefault="00221123" w:rsidP="00221123">
      <w:pPr>
        <w:pStyle w:val="NormalWeb"/>
        <w:jc w:val="right"/>
        <w:rPr>
          <w:rFonts w:ascii="Arial" w:hAnsi="Arial" w:cs="Arial"/>
          <w:color w:val="000000"/>
          <w:sz w:val="20"/>
          <w:szCs w:val="20"/>
        </w:rPr>
      </w:pPr>
      <w:r>
        <w:rPr>
          <w:rFonts w:ascii="Arial" w:hAnsi="Arial" w:cs="Arial"/>
          <w:color w:val="000000"/>
          <w:sz w:val="20"/>
          <w:szCs w:val="20"/>
        </w:rPr>
        <w:t>December 19, 2023</w:t>
      </w:r>
    </w:p>
    <w:p w14:paraId="536EE551" w14:textId="77777777" w:rsidR="00221123" w:rsidRDefault="00221123" w:rsidP="00221123">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w:t>
      </w:r>
      <w:r>
        <w:rPr>
          <w:rFonts w:ascii="Arial" w:hAnsi="Arial" w:cs="Arial"/>
          <w:color w:val="000000"/>
          <w:sz w:val="20"/>
          <w:szCs w:val="20"/>
        </w:rPr>
        <w:br/>
        <w:t>All Primary (Urban) Co-operative Banks/State Co-operative Banks/ Central Co-operative Banks</w:t>
      </w:r>
      <w:r>
        <w:rPr>
          <w:rFonts w:ascii="Arial" w:hAnsi="Arial" w:cs="Arial"/>
          <w:color w:val="000000"/>
          <w:sz w:val="20"/>
          <w:szCs w:val="20"/>
        </w:rPr>
        <w:br/>
        <w:t>All All-India Financial Institutions</w:t>
      </w:r>
      <w:r>
        <w:rPr>
          <w:rFonts w:ascii="Arial" w:hAnsi="Arial" w:cs="Arial"/>
          <w:color w:val="000000"/>
          <w:sz w:val="20"/>
          <w:szCs w:val="20"/>
        </w:rPr>
        <w:br/>
        <w:t>All Non-Banking Financial Companies (including Housing Finance Companies)</w:t>
      </w:r>
    </w:p>
    <w:p w14:paraId="606025B9" w14:textId="77777777" w:rsidR="00221123" w:rsidRDefault="00221123" w:rsidP="00221123">
      <w:pPr>
        <w:pStyle w:val="head"/>
        <w:jc w:val="both"/>
        <w:rPr>
          <w:rFonts w:ascii="Arial" w:hAnsi="Arial" w:cs="Arial"/>
          <w:b/>
          <w:bCs/>
          <w:color w:val="000000"/>
          <w:sz w:val="20"/>
          <w:szCs w:val="20"/>
        </w:rPr>
      </w:pPr>
      <w:r>
        <w:rPr>
          <w:rFonts w:ascii="Arial" w:hAnsi="Arial" w:cs="Arial"/>
          <w:b/>
          <w:bCs/>
          <w:color w:val="000000"/>
          <w:sz w:val="20"/>
          <w:szCs w:val="20"/>
        </w:rPr>
        <w:t>Investments in Alternative Investment Funds (AIFs)</w:t>
      </w:r>
    </w:p>
    <w:p w14:paraId="6394071E" w14:textId="77777777" w:rsidR="00221123" w:rsidRDefault="00221123" w:rsidP="00221123">
      <w:pPr>
        <w:pStyle w:val="NormalWeb"/>
        <w:jc w:val="both"/>
        <w:rPr>
          <w:rFonts w:ascii="Arial" w:hAnsi="Arial" w:cs="Arial"/>
          <w:color w:val="000000"/>
          <w:sz w:val="20"/>
          <w:szCs w:val="20"/>
        </w:rPr>
      </w:pPr>
      <w:r>
        <w:rPr>
          <w:rFonts w:ascii="Arial" w:hAnsi="Arial" w:cs="Arial"/>
          <w:color w:val="000000"/>
          <w:sz w:val="20"/>
          <w:szCs w:val="20"/>
        </w:rPr>
        <w:t>Regulated entities (REs) make investments in units of AIFs as part of their regular investment operations. However, certain transactions of REs involving AIFs that raise regulatory concerns have come to our notice. These transactions entail substitution of direct loan exposure of REs to borrowers, with indirect exposure through investments in units of AIFs.</w:t>
      </w:r>
    </w:p>
    <w:p w14:paraId="40E1ECBB" w14:textId="77777777" w:rsidR="00221123" w:rsidRDefault="00221123" w:rsidP="00221123">
      <w:pPr>
        <w:pStyle w:val="NormalWeb"/>
        <w:jc w:val="both"/>
        <w:rPr>
          <w:rFonts w:ascii="Arial" w:hAnsi="Arial" w:cs="Arial"/>
          <w:color w:val="000000"/>
          <w:sz w:val="20"/>
          <w:szCs w:val="20"/>
        </w:rPr>
      </w:pPr>
      <w:r>
        <w:rPr>
          <w:rFonts w:ascii="Arial" w:hAnsi="Arial" w:cs="Arial"/>
          <w:color w:val="000000"/>
          <w:sz w:val="20"/>
          <w:szCs w:val="20"/>
        </w:rPr>
        <w:t>2. In order to address concerns relating to possible evergreening through this route, it is advised as under:</w:t>
      </w:r>
    </w:p>
    <w:p w14:paraId="36438BD0" w14:textId="77777777" w:rsidR="00221123" w:rsidRDefault="00221123" w:rsidP="00221123">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REs shall not make investments in any scheme of AIFs which has downstream investments either directly or indirectly in a debtor company of the RE.</w:t>
      </w:r>
    </w:p>
    <w:p w14:paraId="58578826" w14:textId="77777777" w:rsidR="00221123" w:rsidRDefault="00221123" w:rsidP="00221123">
      <w:pPr>
        <w:pStyle w:val="NormalWeb"/>
        <w:jc w:val="both"/>
        <w:rPr>
          <w:rFonts w:ascii="Arial" w:hAnsi="Arial" w:cs="Arial"/>
          <w:color w:val="000000"/>
          <w:sz w:val="20"/>
          <w:szCs w:val="20"/>
        </w:rPr>
      </w:pPr>
      <w:r>
        <w:rPr>
          <w:rFonts w:ascii="Arial" w:hAnsi="Arial" w:cs="Arial"/>
          <w:color w:val="000000"/>
          <w:sz w:val="20"/>
          <w:szCs w:val="20"/>
        </w:rPr>
        <w:t>Explanation: The debtor company of the RE, for this purpose, shall mean any company to which the RE currently has or previously had a loan or investment exposure anytime during the preceding 12 months.</w:t>
      </w:r>
    </w:p>
    <w:p w14:paraId="310EEEA0" w14:textId="77777777" w:rsidR="00221123" w:rsidRDefault="00221123" w:rsidP="00221123">
      <w:pPr>
        <w:pStyle w:val="NormalWeb"/>
        <w:jc w:val="both"/>
        <w:rPr>
          <w:rFonts w:ascii="Arial" w:hAnsi="Arial" w:cs="Arial"/>
          <w:color w:val="000000"/>
          <w:sz w:val="20"/>
          <w:szCs w:val="20"/>
        </w:rPr>
      </w:pPr>
      <w:r>
        <w:rPr>
          <w:rFonts w:ascii="Arial" w:hAnsi="Arial" w:cs="Arial"/>
          <w:color w:val="000000"/>
          <w:sz w:val="20"/>
          <w:szCs w:val="20"/>
        </w:rPr>
        <w:t>(ii) If an AIF scheme, in which RE is already an investor, makes a downstream investment in any such debtor company, then the RE shall liquidate its investment in the scheme within 30 days from the date of such downstream investment by the AIF. If REs have already invested into such schemes having downstream investment in their debtor companies as on date, the 30-day period for liquidation shall be counted from date of issuance of this circular. REs shall forthwith arrange to advise the AIFs suitably in the matter.</w:t>
      </w:r>
    </w:p>
    <w:p w14:paraId="24E53B48" w14:textId="77777777" w:rsidR="00221123" w:rsidRDefault="00221123" w:rsidP="00221123">
      <w:pPr>
        <w:pStyle w:val="NormalWeb"/>
        <w:jc w:val="both"/>
        <w:rPr>
          <w:rFonts w:ascii="Arial" w:hAnsi="Arial" w:cs="Arial"/>
          <w:color w:val="000000"/>
          <w:sz w:val="20"/>
          <w:szCs w:val="20"/>
        </w:rPr>
      </w:pPr>
      <w:r>
        <w:rPr>
          <w:rFonts w:ascii="Arial" w:hAnsi="Arial" w:cs="Arial"/>
          <w:color w:val="000000"/>
          <w:sz w:val="20"/>
          <w:szCs w:val="20"/>
        </w:rPr>
        <w:t>(iii) In case REs are not able to liquidate their investments within the above-prescribed time limit, they shall make 100 percent provision on such investments.</w:t>
      </w:r>
    </w:p>
    <w:p w14:paraId="091FF3C1" w14:textId="77777777" w:rsidR="00221123" w:rsidRDefault="00221123" w:rsidP="00221123">
      <w:pPr>
        <w:pStyle w:val="NormalWeb"/>
        <w:jc w:val="both"/>
        <w:rPr>
          <w:rFonts w:ascii="Arial" w:hAnsi="Arial" w:cs="Arial"/>
          <w:color w:val="000000"/>
          <w:sz w:val="20"/>
          <w:szCs w:val="20"/>
        </w:rPr>
      </w:pPr>
      <w:r>
        <w:rPr>
          <w:rFonts w:ascii="Arial" w:hAnsi="Arial" w:cs="Arial"/>
          <w:color w:val="000000"/>
          <w:sz w:val="20"/>
          <w:szCs w:val="20"/>
        </w:rPr>
        <w:t>3. In addition, investment by REs in the subordinated units of any AIF scheme with a ‘priority distribution model’ shall be subject to full deduction from RE’s capital funds.</w:t>
      </w:r>
    </w:p>
    <w:p w14:paraId="29D6E83D" w14:textId="77777777" w:rsidR="00221123" w:rsidRDefault="00221123" w:rsidP="00221123">
      <w:pPr>
        <w:pStyle w:val="NormalWeb"/>
        <w:jc w:val="both"/>
        <w:rPr>
          <w:rFonts w:ascii="Arial" w:hAnsi="Arial" w:cs="Arial"/>
          <w:color w:val="000000"/>
          <w:sz w:val="20"/>
          <w:szCs w:val="20"/>
        </w:rPr>
      </w:pPr>
      <w:r>
        <w:rPr>
          <w:rFonts w:ascii="Arial" w:hAnsi="Arial" w:cs="Arial"/>
          <w:color w:val="000000"/>
          <w:sz w:val="20"/>
          <w:szCs w:val="20"/>
        </w:rPr>
        <w:t>Explanation: ‘Priority distribution model’ shall have the same meaning as specified in the SEBI circular SEBI/HO/AFD-1/</w:t>
      </w:r>
      <w:proofErr w:type="spellStart"/>
      <w:r>
        <w:rPr>
          <w:rFonts w:ascii="Arial" w:hAnsi="Arial" w:cs="Arial"/>
          <w:color w:val="000000"/>
          <w:sz w:val="20"/>
          <w:szCs w:val="20"/>
        </w:rPr>
        <w:t>PoD</w:t>
      </w:r>
      <w:proofErr w:type="spellEnd"/>
      <w:r>
        <w:rPr>
          <w:rFonts w:ascii="Arial" w:hAnsi="Arial" w:cs="Arial"/>
          <w:color w:val="000000"/>
          <w:sz w:val="20"/>
          <w:szCs w:val="20"/>
        </w:rPr>
        <w:t>/P/CIR/2022/157 dated November 23, 2022.</w:t>
      </w:r>
    </w:p>
    <w:p w14:paraId="34983DAF" w14:textId="77777777" w:rsidR="00221123" w:rsidRDefault="00221123" w:rsidP="00221123">
      <w:pPr>
        <w:pStyle w:val="NormalWeb"/>
        <w:jc w:val="both"/>
        <w:rPr>
          <w:rFonts w:ascii="Arial" w:hAnsi="Arial" w:cs="Arial"/>
          <w:color w:val="000000"/>
          <w:sz w:val="20"/>
          <w:szCs w:val="20"/>
        </w:rPr>
      </w:pPr>
      <w:r>
        <w:rPr>
          <w:rFonts w:ascii="Arial" w:hAnsi="Arial" w:cs="Arial"/>
          <w:color w:val="000000"/>
          <w:sz w:val="20"/>
          <w:szCs w:val="20"/>
        </w:rPr>
        <w:t>4. These instructions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w:t>
      </w:r>
    </w:p>
    <w:p w14:paraId="4F832E07" w14:textId="77777777" w:rsidR="00221123" w:rsidRDefault="00221123" w:rsidP="00221123">
      <w:pPr>
        <w:pStyle w:val="NormalWeb"/>
        <w:jc w:val="both"/>
        <w:rPr>
          <w:rFonts w:ascii="Arial" w:hAnsi="Arial" w:cs="Arial"/>
          <w:color w:val="000000"/>
          <w:sz w:val="20"/>
          <w:szCs w:val="20"/>
        </w:rPr>
      </w:pPr>
      <w:r>
        <w:rPr>
          <w:rFonts w:ascii="Arial" w:hAnsi="Arial" w:cs="Arial"/>
          <w:color w:val="000000"/>
          <w:sz w:val="20"/>
          <w:szCs w:val="20"/>
        </w:rPr>
        <w:t>5. The above instructions shall become effective immediately.</w:t>
      </w:r>
    </w:p>
    <w:p w14:paraId="76899902" w14:textId="77777777" w:rsidR="00221123" w:rsidRDefault="00221123" w:rsidP="00221123">
      <w:pPr>
        <w:pStyle w:val="NormalWeb"/>
        <w:jc w:val="both"/>
        <w:rPr>
          <w:rFonts w:ascii="Arial" w:hAnsi="Arial" w:cs="Arial"/>
          <w:color w:val="000000"/>
          <w:sz w:val="20"/>
          <w:szCs w:val="20"/>
        </w:rPr>
      </w:pPr>
      <w:r>
        <w:rPr>
          <w:rFonts w:ascii="Arial" w:hAnsi="Arial" w:cs="Arial"/>
          <w:color w:val="000000"/>
          <w:sz w:val="20"/>
          <w:szCs w:val="20"/>
        </w:rPr>
        <w:t>Yours faithfully,</w:t>
      </w:r>
    </w:p>
    <w:p w14:paraId="17BFD319" w14:textId="75D8F6FD" w:rsidR="00221123" w:rsidRDefault="00221123" w:rsidP="00221123">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Vaibhav</w:t>
      </w:r>
      <w:proofErr w:type="spellEnd"/>
      <w:r>
        <w:rPr>
          <w:rFonts w:ascii="Arial" w:hAnsi="Arial" w:cs="Arial"/>
          <w:color w:val="000000"/>
          <w:sz w:val="20"/>
          <w:szCs w:val="20"/>
        </w:rPr>
        <w:t xml:space="preserve"> </w:t>
      </w:r>
      <w:proofErr w:type="spellStart"/>
      <w:r>
        <w:rPr>
          <w:rFonts w:ascii="Arial" w:hAnsi="Arial" w:cs="Arial"/>
          <w:color w:val="000000"/>
          <w:sz w:val="20"/>
          <w:szCs w:val="20"/>
        </w:rPr>
        <w:t>Chaturvedi</w:t>
      </w:r>
      <w:proofErr w:type="spellEnd"/>
      <w:r>
        <w:rPr>
          <w:rFonts w:ascii="Arial" w:hAnsi="Arial" w:cs="Arial"/>
          <w:color w:val="000000"/>
          <w:sz w:val="20"/>
          <w:szCs w:val="20"/>
        </w:rPr>
        <w:t>)</w:t>
      </w:r>
      <w:r>
        <w:rPr>
          <w:rFonts w:ascii="Arial" w:hAnsi="Arial" w:cs="Arial"/>
          <w:color w:val="000000"/>
          <w:sz w:val="20"/>
          <w:szCs w:val="20"/>
        </w:rPr>
        <w:br/>
        <w:t>Chief General Manager</w:t>
      </w:r>
    </w:p>
    <w:p w14:paraId="3E44A91C" w14:textId="7102E27E" w:rsidR="00221123" w:rsidRDefault="000729E7" w:rsidP="00221123">
      <w:pPr>
        <w:pStyle w:val="NormalWeb"/>
        <w:rPr>
          <w:rFonts w:ascii="Arial" w:hAnsi="Arial" w:cs="Arial"/>
          <w:color w:val="000000"/>
          <w:sz w:val="20"/>
          <w:szCs w:val="20"/>
        </w:rPr>
      </w:pPr>
      <w:r w:rsidRPr="000729E7">
        <w:rPr>
          <w:rFonts w:ascii="Arial" w:hAnsi="Arial" w:cs="Arial"/>
          <w:color w:val="000000"/>
          <w:sz w:val="20"/>
          <w:szCs w:val="20"/>
        </w:rPr>
        <w:lastRenderedPageBreak/>
        <w:t>For more details, Kindly refer:</w:t>
      </w:r>
    </w:p>
    <w:p w14:paraId="1F884125" w14:textId="35EBFC71" w:rsidR="00221123" w:rsidRDefault="00221123" w:rsidP="00221123">
      <w:pPr>
        <w:pStyle w:val="NormalWeb"/>
        <w:rPr>
          <w:rFonts w:ascii="Arial" w:hAnsi="Arial" w:cs="Arial"/>
          <w:color w:val="000000"/>
          <w:sz w:val="20"/>
          <w:szCs w:val="20"/>
        </w:rPr>
      </w:pPr>
      <w:hyperlink r:id="rId63" w:history="1">
        <w:r w:rsidRPr="00FC240A">
          <w:rPr>
            <w:rStyle w:val="Hyperlink"/>
            <w:rFonts w:ascii="Arial" w:hAnsi="Arial" w:cs="Arial"/>
            <w:sz w:val="20"/>
            <w:szCs w:val="20"/>
          </w:rPr>
          <w:t>https://rbi.org.in/Scripts/NotificationUser.aspx?Id=12572&amp;Mode=0</w:t>
        </w:r>
      </w:hyperlink>
    </w:p>
    <w:p w14:paraId="25A87B43" w14:textId="39404BC0" w:rsidR="00221123" w:rsidRDefault="00221123" w:rsidP="00221123">
      <w:pPr>
        <w:pStyle w:val="NormalWeb"/>
        <w:rPr>
          <w:rFonts w:ascii="Arial" w:hAnsi="Arial" w:cs="Arial"/>
          <w:color w:val="000000"/>
          <w:sz w:val="20"/>
          <w:szCs w:val="20"/>
        </w:rPr>
      </w:pPr>
    </w:p>
    <w:p w14:paraId="72A6D046" w14:textId="0491113C" w:rsidR="00221123" w:rsidRDefault="00221123" w:rsidP="00221123">
      <w:pPr>
        <w:pStyle w:val="NormalWeb"/>
        <w:rPr>
          <w:rFonts w:ascii="Arial" w:hAnsi="Arial" w:cs="Arial"/>
          <w:color w:val="000000"/>
          <w:sz w:val="20"/>
          <w:szCs w:val="20"/>
        </w:rPr>
      </w:pPr>
    </w:p>
    <w:p w14:paraId="4C4ECB64" w14:textId="05DD95B2" w:rsidR="00221123" w:rsidRDefault="00221123" w:rsidP="00221123">
      <w:pPr>
        <w:pStyle w:val="NormalWeb"/>
        <w:rPr>
          <w:rFonts w:ascii="Arial" w:hAnsi="Arial" w:cs="Arial"/>
          <w:color w:val="000000"/>
          <w:sz w:val="20"/>
          <w:szCs w:val="20"/>
        </w:rPr>
      </w:pPr>
    </w:p>
    <w:p w14:paraId="20C48364" w14:textId="2DF14FDF" w:rsidR="00221123" w:rsidRDefault="00221123" w:rsidP="00221123">
      <w:pPr>
        <w:pStyle w:val="NormalWeb"/>
        <w:rPr>
          <w:rFonts w:ascii="Arial" w:hAnsi="Arial" w:cs="Arial"/>
          <w:color w:val="000000"/>
          <w:sz w:val="20"/>
          <w:szCs w:val="20"/>
        </w:rPr>
      </w:pPr>
    </w:p>
    <w:p w14:paraId="1D91EEDD" w14:textId="02854764" w:rsidR="00221123" w:rsidRDefault="00221123" w:rsidP="00221123">
      <w:pPr>
        <w:pStyle w:val="NormalWeb"/>
        <w:rPr>
          <w:rFonts w:ascii="Arial" w:hAnsi="Arial" w:cs="Arial"/>
          <w:color w:val="000000"/>
          <w:sz w:val="20"/>
          <w:szCs w:val="20"/>
        </w:rPr>
      </w:pPr>
    </w:p>
    <w:p w14:paraId="4E107628" w14:textId="6891CA87" w:rsidR="00221123" w:rsidRDefault="00221123" w:rsidP="00221123">
      <w:pPr>
        <w:pStyle w:val="NormalWeb"/>
        <w:rPr>
          <w:rFonts w:ascii="Arial" w:hAnsi="Arial" w:cs="Arial"/>
          <w:color w:val="000000"/>
          <w:sz w:val="20"/>
          <w:szCs w:val="20"/>
        </w:rPr>
      </w:pPr>
    </w:p>
    <w:p w14:paraId="3C138066" w14:textId="53319D59" w:rsidR="00221123" w:rsidRDefault="00221123" w:rsidP="00221123">
      <w:pPr>
        <w:pStyle w:val="NormalWeb"/>
        <w:rPr>
          <w:rFonts w:ascii="Arial" w:hAnsi="Arial" w:cs="Arial"/>
          <w:color w:val="000000"/>
          <w:sz w:val="20"/>
          <w:szCs w:val="20"/>
        </w:rPr>
      </w:pPr>
    </w:p>
    <w:p w14:paraId="316E466F" w14:textId="6E90E7C3" w:rsidR="00221123" w:rsidRDefault="00221123" w:rsidP="00221123">
      <w:pPr>
        <w:pStyle w:val="NormalWeb"/>
        <w:rPr>
          <w:rFonts w:ascii="Arial" w:hAnsi="Arial" w:cs="Arial"/>
          <w:color w:val="000000"/>
          <w:sz w:val="20"/>
          <w:szCs w:val="20"/>
        </w:rPr>
      </w:pPr>
    </w:p>
    <w:p w14:paraId="48182311" w14:textId="61062D7F" w:rsidR="00221123" w:rsidRDefault="00221123" w:rsidP="00221123">
      <w:pPr>
        <w:pStyle w:val="NormalWeb"/>
        <w:rPr>
          <w:rFonts w:ascii="Arial" w:hAnsi="Arial" w:cs="Arial"/>
          <w:color w:val="000000"/>
          <w:sz w:val="20"/>
          <w:szCs w:val="20"/>
        </w:rPr>
      </w:pPr>
    </w:p>
    <w:p w14:paraId="450C57AC" w14:textId="058C48F7" w:rsidR="00221123" w:rsidRDefault="00221123" w:rsidP="00221123">
      <w:pPr>
        <w:pStyle w:val="NormalWeb"/>
        <w:rPr>
          <w:rFonts w:ascii="Arial" w:hAnsi="Arial" w:cs="Arial"/>
          <w:color w:val="000000"/>
          <w:sz w:val="20"/>
          <w:szCs w:val="20"/>
        </w:rPr>
      </w:pPr>
    </w:p>
    <w:p w14:paraId="71D7D949" w14:textId="00B7B026" w:rsidR="00221123" w:rsidRDefault="00221123" w:rsidP="00221123">
      <w:pPr>
        <w:pStyle w:val="NormalWeb"/>
        <w:rPr>
          <w:rFonts w:ascii="Arial" w:hAnsi="Arial" w:cs="Arial"/>
          <w:color w:val="000000"/>
          <w:sz w:val="20"/>
          <w:szCs w:val="20"/>
        </w:rPr>
      </w:pPr>
    </w:p>
    <w:p w14:paraId="21ED4134" w14:textId="25EB1F7E" w:rsidR="00221123" w:rsidRDefault="00221123" w:rsidP="00221123">
      <w:pPr>
        <w:pStyle w:val="NormalWeb"/>
        <w:rPr>
          <w:rFonts w:ascii="Arial" w:hAnsi="Arial" w:cs="Arial"/>
          <w:color w:val="000000"/>
          <w:sz w:val="20"/>
          <w:szCs w:val="20"/>
        </w:rPr>
      </w:pPr>
    </w:p>
    <w:p w14:paraId="4823DB35" w14:textId="229D6BD1" w:rsidR="00221123" w:rsidRDefault="00221123" w:rsidP="00221123">
      <w:pPr>
        <w:pStyle w:val="NormalWeb"/>
        <w:rPr>
          <w:rFonts w:ascii="Arial" w:hAnsi="Arial" w:cs="Arial"/>
          <w:color w:val="000000"/>
          <w:sz w:val="20"/>
          <w:szCs w:val="20"/>
        </w:rPr>
      </w:pPr>
    </w:p>
    <w:p w14:paraId="0C3DEDC5" w14:textId="3ED764ED" w:rsidR="00221123" w:rsidRDefault="00221123" w:rsidP="00221123">
      <w:pPr>
        <w:pStyle w:val="NormalWeb"/>
        <w:rPr>
          <w:rFonts w:ascii="Arial" w:hAnsi="Arial" w:cs="Arial"/>
          <w:color w:val="000000"/>
          <w:sz w:val="20"/>
          <w:szCs w:val="20"/>
        </w:rPr>
      </w:pPr>
    </w:p>
    <w:p w14:paraId="6847A113" w14:textId="1EFB52F6" w:rsidR="00221123" w:rsidRDefault="00221123" w:rsidP="00221123">
      <w:pPr>
        <w:pStyle w:val="NormalWeb"/>
        <w:rPr>
          <w:rFonts w:ascii="Arial" w:hAnsi="Arial" w:cs="Arial"/>
          <w:color w:val="000000"/>
          <w:sz w:val="20"/>
          <w:szCs w:val="20"/>
        </w:rPr>
      </w:pPr>
    </w:p>
    <w:p w14:paraId="2AAA60EA" w14:textId="6554B7AA" w:rsidR="00221123" w:rsidRDefault="00221123" w:rsidP="00221123">
      <w:pPr>
        <w:pStyle w:val="NormalWeb"/>
        <w:rPr>
          <w:rFonts w:ascii="Arial" w:hAnsi="Arial" w:cs="Arial"/>
          <w:color w:val="000000"/>
          <w:sz w:val="20"/>
          <w:szCs w:val="20"/>
        </w:rPr>
      </w:pPr>
    </w:p>
    <w:p w14:paraId="7E16D99C" w14:textId="4DA7223E" w:rsidR="00221123" w:rsidRDefault="00221123" w:rsidP="00221123">
      <w:pPr>
        <w:pStyle w:val="NormalWeb"/>
        <w:rPr>
          <w:rFonts w:ascii="Arial" w:hAnsi="Arial" w:cs="Arial"/>
          <w:color w:val="000000"/>
          <w:sz w:val="20"/>
          <w:szCs w:val="20"/>
        </w:rPr>
      </w:pPr>
    </w:p>
    <w:p w14:paraId="1FD98602" w14:textId="76F6BA43" w:rsidR="00221123" w:rsidRDefault="00221123" w:rsidP="00221123">
      <w:pPr>
        <w:pStyle w:val="NormalWeb"/>
        <w:rPr>
          <w:rFonts w:ascii="Arial" w:hAnsi="Arial" w:cs="Arial"/>
          <w:color w:val="000000"/>
          <w:sz w:val="20"/>
          <w:szCs w:val="20"/>
        </w:rPr>
      </w:pPr>
    </w:p>
    <w:p w14:paraId="72549DBD" w14:textId="3334502D" w:rsidR="00221123" w:rsidRDefault="00221123" w:rsidP="00221123">
      <w:pPr>
        <w:pStyle w:val="NormalWeb"/>
        <w:rPr>
          <w:rFonts w:ascii="Arial" w:hAnsi="Arial" w:cs="Arial"/>
          <w:color w:val="000000"/>
          <w:sz w:val="20"/>
          <w:szCs w:val="20"/>
        </w:rPr>
      </w:pPr>
    </w:p>
    <w:p w14:paraId="78F49334" w14:textId="59C02F52" w:rsidR="00221123" w:rsidRDefault="00221123" w:rsidP="00221123">
      <w:pPr>
        <w:pStyle w:val="NormalWeb"/>
        <w:rPr>
          <w:rFonts w:ascii="Arial" w:hAnsi="Arial" w:cs="Arial"/>
          <w:color w:val="000000"/>
          <w:sz w:val="20"/>
          <w:szCs w:val="20"/>
        </w:rPr>
      </w:pPr>
    </w:p>
    <w:p w14:paraId="3CE43953" w14:textId="1A780B82" w:rsidR="00221123" w:rsidRDefault="00221123" w:rsidP="00221123">
      <w:pPr>
        <w:pStyle w:val="NormalWeb"/>
        <w:rPr>
          <w:rFonts w:ascii="Arial" w:hAnsi="Arial" w:cs="Arial"/>
          <w:color w:val="000000"/>
          <w:sz w:val="20"/>
          <w:szCs w:val="20"/>
        </w:rPr>
      </w:pPr>
    </w:p>
    <w:p w14:paraId="0A5E325A" w14:textId="5ABE5C0B" w:rsidR="00221123" w:rsidRDefault="00221123" w:rsidP="00221123">
      <w:pPr>
        <w:pStyle w:val="NormalWeb"/>
        <w:rPr>
          <w:rFonts w:ascii="Arial" w:hAnsi="Arial" w:cs="Arial"/>
          <w:color w:val="000000"/>
          <w:sz w:val="20"/>
          <w:szCs w:val="20"/>
        </w:rPr>
      </w:pPr>
    </w:p>
    <w:p w14:paraId="53DDF86C" w14:textId="05902CB1" w:rsidR="00221123" w:rsidRDefault="00221123" w:rsidP="00221123">
      <w:pPr>
        <w:pStyle w:val="NormalWeb"/>
        <w:rPr>
          <w:rFonts w:ascii="Arial" w:hAnsi="Arial" w:cs="Arial"/>
          <w:color w:val="000000"/>
          <w:sz w:val="20"/>
          <w:szCs w:val="20"/>
        </w:rPr>
      </w:pPr>
    </w:p>
    <w:p w14:paraId="070F3388" w14:textId="6D38A8D8" w:rsidR="00221123" w:rsidRDefault="00221123" w:rsidP="00221123">
      <w:pPr>
        <w:pStyle w:val="NormalWeb"/>
        <w:rPr>
          <w:rFonts w:ascii="Arial" w:hAnsi="Arial" w:cs="Arial"/>
          <w:color w:val="000000"/>
          <w:sz w:val="20"/>
          <w:szCs w:val="20"/>
        </w:rPr>
      </w:pPr>
    </w:p>
    <w:p w14:paraId="5AF43D70" w14:textId="424CC188" w:rsidR="00221123" w:rsidRDefault="00221123" w:rsidP="00221123">
      <w:pPr>
        <w:pStyle w:val="NormalWeb"/>
        <w:rPr>
          <w:rFonts w:ascii="Arial" w:hAnsi="Arial" w:cs="Arial"/>
          <w:color w:val="000000"/>
          <w:sz w:val="20"/>
          <w:szCs w:val="20"/>
        </w:rPr>
      </w:pPr>
    </w:p>
    <w:p w14:paraId="15A95FF7" w14:textId="5E482281" w:rsidR="00221123" w:rsidRDefault="00221123" w:rsidP="00221123">
      <w:pPr>
        <w:pStyle w:val="NormalWeb"/>
        <w:jc w:val="both"/>
        <w:rPr>
          <w:rFonts w:asciiTheme="minorHAnsi" w:hAnsiTheme="minorHAnsi" w:cstheme="minorHAnsi"/>
          <w:b/>
          <w:color w:val="000000"/>
        </w:rPr>
      </w:pPr>
      <w:r w:rsidRPr="00221123">
        <w:rPr>
          <w:rFonts w:asciiTheme="minorHAnsi" w:hAnsiTheme="minorHAnsi" w:cstheme="minorHAnsi"/>
          <w:b/>
          <w:color w:val="000000"/>
        </w:rPr>
        <w:lastRenderedPageBreak/>
        <w:t>Payments Infrastructure Development Fund – Extension of Scheme and Enhancements</w:t>
      </w:r>
    </w:p>
    <w:p w14:paraId="2700E828" w14:textId="77777777" w:rsidR="00221123" w:rsidRPr="00221123" w:rsidRDefault="00221123" w:rsidP="0022112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RBI/2023-24/101</w:t>
      </w:r>
      <w:r w:rsidRPr="00221123">
        <w:rPr>
          <w:rFonts w:ascii="Arial" w:eastAsia="Times New Roman" w:hAnsi="Arial" w:cs="Arial"/>
          <w:color w:val="000000"/>
          <w:kern w:val="0"/>
          <w:sz w:val="20"/>
          <w:szCs w:val="20"/>
          <w:lang w:eastAsia="en-IN"/>
          <w14:ligatures w14:val="none"/>
        </w:rPr>
        <w:br/>
        <w:t>CO.DPSS.POLC.No.S940/02-29-005/2023-24</w:t>
      </w:r>
    </w:p>
    <w:p w14:paraId="68D70DB6" w14:textId="77777777" w:rsidR="00221123" w:rsidRPr="00221123" w:rsidRDefault="00221123" w:rsidP="00221123">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December 29, 2023</w:t>
      </w:r>
    </w:p>
    <w:p w14:paraId="1D35EE63" w14:textId="77777777" w:rsidR="00221123" w:rsidRPr="00221123" w:rsidRDefault="00221123" w:rsidP="00221123">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The Chairman / Managing Director / Chief Executive Officer</w:t>
      </w:r>
      <w:r w:rsidRPr="00221123">
        <w:rPr>
          <w:rFonts w:ascii="Arial" w:eastAsia="Times New Roman" w:hAnsi="Arial" w:cs="Arial"/>
          <w:color w:val="000000"/>
          <w:kern w:val="0"/>
          <w:sz w:val="20"/>
          <w:szCs w:val="20"/>
          <w:lang w:eastAsia="en-IN"/>
          <w14:ligatures w14:val="none"/>
        </w:rPr>
        <w:br/>
        <w:t>Card Issuing and Acquiring Banks and Non-banks / Authorised Card Networks</w:t>
      </w:r>
    </w:p>
    <w:p w14:paraId="39071BB0" w14:textId="77777777" w:rsidR="00221123" w:rsidRPr="00221123" w:rsidRDefault="00221123" w:rsidP="0022112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Madam / Dear Sir,</w:t>
      </w:r>
    </w:p>
    <w:p w14:paraId="60BE12F7" w14:textId="77777777" w:rsidR="00221123" w:rsidRPr="00221123" w:rsidRDefault="00221123" w:rsidP="00221123">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221123">
        <w:rPr>
          <w:rFonts w:ascii="Arial" w:eastAsia="Times New Roman" w:hAnsi="Arial" w:cs="Arial"/>
          <w:b/>
          <w:bCs/>
          <w:color w:val="000000"/>
          <w:kern w:val="0"/>
          <w:sz w:val="20"/>
          <w:szCs w:val="20"/>
          <w:lang w:eastAsia="en-IN"/>
          <w14:ligatures w14:val="none"/>
        </w:rPr>
        <w:t>Payments Infrastructure Development Fund – Extension of Scheme and Enhancements</w:t>
      </w:r>
    </w:p>
    <w:p w14:paraId="76EA7A60" w14:textId="77777777" w:rsidR="00221123" w:rsidRPr="00221123" w:rsidRDefault="00221123" w:rsidP="0022112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Please refer to the Reserve Bank of India </w:t>
      </w:r>
      <w:hyperlink r:id="rId64" w:tgtFrame="_blank" w:history="1">
        <w:r w:rsidRPr="00221123">
          <w:rPr>
            <w:rFonts w:ascii="Arial" w:eastAsia="Times New Roman" w:hAnsi="Arial" w:cs="Arial"/>
            <w:color w:val="0000FF"/>
            <w:kern w:val="0"/>
            <w:sz w:val="20"/>
            <w:szCs w:val="20"/>
            <w:u w:val="single"/>
            <w:lang w:eastAsia="en-IN"/>
            <w14:ligatures w14:val="none"/>
          </w:rPr>
          <w:t>circular DPSS.CO.AD No.900/02.29.005/2020-21 dated January 05, 2021</w:t>
        </w:r>
      </w:hyperlink>
      <w:r w:rsidRPr="00221123">
        <w:rPr>
          <w:rFonts w:ascii="Arial" w:eastAsia="Times New Roman" w:hAnsi="Arial" w:cs="Arial"/>
          <w:color w:val="000000"/>
          <w:kern w:val="0"/>
          <w:sz w:val="20"/>
          <w:szCs w:val="20"/>
          <w:lang w:eastAsia="en-IN"/>
          <w14:ligatures w14:val="none"/>
        </w:rPr>
        <w:t>, on “Operationalisation of Payments Infrastructure Development Fund (PIDF) Scheme” and subsequent amendments made thereto.</w:t>
      </w:r>
    </w:p>
    <w:p w14:paraId="1C659D41" w14:textId="77777777" w:rsidR="00221123" w:rsidRPr="00221123" w:rsidRDefault="00221123" w:rsidP="0022112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2. As announced in the </w:t>
      </w:r>
      <w:hyperlink r:id="rId65" w:tgtFrame="_blank" w:history="1">
        <w:r w:rsidRPr="00221123">
          <w:rPr>
            <w:rFonts w:ascii="Arial" w:eastAsia="Times New Roman" w:hAnsi="Arial" w:cs="Arial"/>
            <w:color w:val="0000FF"/>
            <w:kern w:val="0"/>
            <w:sz w:val="20"/>
            <w:szCs w:val="20"/>
            <w:u w:val="single"/>
            <w:lang w:eastAsia="en-IN"/>
            <w14:ligatures w14:val="none"/>
          </w:rPr>
          <w:t>Statement on Development and Regulatory Policies dated October 06, 2023</w:t>
        </w:r>
      </w:hyperlink>
      <w:r w:rsidRPr="00221123">
        <w:rPr>
          <w:rFonts w:ascii="Arial" w:eastAsia="Times New Roman" w:hAnsi="Arial" w:cs="Arial"/>
          <w:color w:val="000000"/>
          <w:kern w:val="0"/>
          <w:sz w:val="20"/>
          <w:szCs w:val="20"/>
          <w:lang w:eastAsia="en-IN"/>
          <w14:ligatures w14:val="none"/>
        </w:rPr>
        <w:t>, the PIDF Scheme is being extended by two years, i.e., upto December 31, 2025. Further, with a view to provide impetus to deployment of acceptance infrastructure, the following enhancements are being made to the Scheme:</w:t>
      </w:r>
    </w:p>
    <w:p w14:paraId="014E7B24" w14:textId="77777777" w:rsidR="00221123" w:rsidRPr="00221123" w:rsidRDefault="00221123" w:rsidP="00221123">
      <w:pPr>
        <w:numPr>
          <w:ilvl w:val="0"/>
          <w:numId w:val="13"/>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 xml:space="preserve">The beneficiaries identified as part of the PM </w:t>
      </w:r>
      <w:proofErr w:type="spellStart"/>
      <w:r w:rsidRPr="00221123">
        <w:rPr>
          <w:rFonts w:ascii="Arial" w:eastAsia="Times New Roman" w:hAnsi="Arial" w:cs="Arial"/>
          <w:color w:val="000000"/>
          <w:kern w:val="0"/>
          <w:sz w:val="20"/>
          <w:szCs w:val="20"/>
          <w:lang w:eastAsia="en-IN"/>
          <w14:ligatures w14:val="none"/>
        </w:rPr>
        <w:t>Vishwakarma</w:t>
      </w:r>
      <w:proofErr w:type="spellEnd"/>
      <w:r w:rsidRPr="00221123">
        <w:rPr>
          <w:rFonts w:ascii="Arial" w:eastAsia="Times New Roman" w:hAnsi="Arial" w:cs="Arial"/>
          <w:color w:val="000000"/>
          <w:kern w:val="0"/>
          <w:sz w:val="20"/>
          <w:szCs w:val="20"/>
          <w:lang w:eastAsia="en-IN"/>
          <w14:ligatures w14:val="none"/>
        </w:rPr>
        <w:t xml:space="preserve"> Scheme, across the country, shall be included as merchants for deployment under the PIDF Scheme. All eligible installations since the inception of the PM </w:t>
      </w:r>
      <w:proofErr w:type="spellStart"/>
      <w:r w:rsidRPr="00221123">
        <w:rPr>
          <w:rFonts w:ascii="Arial" w:eastAsia="Times New Roman" w:hAnsi="Arial" w:cs="Arial"/>
          <w:color w:val="000000"/>
          <w:kern w:val="0"/>
          <w:sz w:val="20"/>
          <w:szCs w:val="20"/>
          <w:lang w:eastAsia="en-IN"/>
          <w14:ligatures w14:val="none"/>
        </w:rPr>
        <w:t>Vishwakarma</w:t>
      </w:r>
      <w:proofErr w:type="spellEnd"/>
      <w:r w:rsidRPr="00221123">
        <w:rPr>
          <w:rFonts w:ascii="Arial" w:eastAsia="Times New Roman" w:hAnsi="Arial" w:cs="Arial"/>
          <w:color w:val="000000"/>
          <w:kern w:val="0"/>
          <w:sz w:val="20"/>
          <w:szCs w:val="20"/>
          <w:lang w:eastAsia="en-IN"/>
          <w14:ligatures w14:val="none"/>
        </w:rPr>
        <w:t xml:space="preserve"> Scheme, i.e., September 17, 2023, may prefer claims under the PIDF Scheme.</w:t>
      </w:r>
    </w:p>
    <w:p w14:paraId="3AD6D438" w14:textId="77777777" w:rsidR="00221123" w:rsidRPr="00221123" w:rsidRDefault="00221123" w:rsidP="00221123">
      <w:pPr>
        <w:numPr>
          <w:ilvl w:val="0"/>
          <w:numId w:val="13"/>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The PIDF Scheme presently subsidises deployment of acceptance infrastructure based on category of device – physical or digital. It has been decided to enable other contemporary devices, viz., (</w:t>
      </w:r>
      <w:proofErr w:type="spellStart"/>
      <w:r w:rsidRPr="00221123">
        <w:rPr>
          <w:rFonts w:ascii="Arial" w:eastAsia="Times New Roman" w:hAnsi="Arial" w:cs="Arial"/>
          <w:color w:val="000000"/>
          <w:kern w:val="0"/>
          <w:sz w:val="20"/>
          <w:szCs w:val="20"/>
          <w:lang w:eastAsia="en-IN"/>
          <w14:ligatures w14:val="none"/>
        </w:rPr>
        <w:t>i</w:t>
      </w:r>
      <w:proofErr w:type="spellEnd"/>
      <w:r w:rsidRPr="00221123">
        <w:rPr>
          <w:rFonts w:ascii="Arial" w:eastAsia="Times New Roman" w:hAnsi="Arial" w:cs="Arial"/>
          <w:color w:val="000000"/>
          <w:kern w:val="0"/>
          <w:sz w:val="20"/>
          <w:szCs w:val="20"/>
          <w:lang w:eastAsia="en-IN"/>
          <w14:ligatures w14:val="none"/>
        </w:rPr>
        <w:t xml:space="preserve">) </w:t>
      </w:r>
      <w:proofErr w:type="spellStart"/>
      <w:r w:rsidRPr="00221123">
        <w:rPr>
          <w:rFonts w:ascii="Arial" w:eastAsia="Times New Roman" w:hAnsi="Arial" w:cs="Arial"/>
          <w:color w:val="000000"/>
          <w:kern w:val="0"/>
          <w:sz w:val="20"/>
          <w:szCs w:val="20"/>
          <w:lang w:eastAsia="en-IN"/>
          <w14:ligatures w14:val="none"/>
        </w:rPr>
        <w:t>Soundbox</w:t>
      </w:r>
      <w:proofErr w:type="spellEnd"/>
      <w:r w:rsidRPr="00221123">
        <w:rPr>
          <w:rFonts w:ascii="Arial" w:eastAsia="Times New Roman" w:hAnsi="Arial" w:cs="Arial"/>
          <w:color w:val="000000"/>
          <w:kern w:val="0"/>
          <w:sz w:val="20"/>
          <w:szCs w:val="20"/>
          <w:lang w:eastAsia="en-IN"/>
          <w14:ligatures w14:val="none"/>
        </w:rPr>
        <w:t xml:space="preserve"> devices – providing instant audio payment confirmation along with payment acceptance by “scan &amp; pay” and Near Field Communication (NFC), and (ii) Aadhaar-enabled biometric devices – certified biometric scanner devices facilitating Aadhaar authentication for acceptance of payment by merchant through BHIM Aadhaar Pay, would be eligible for subsidy under the Scheme, for installations made from October 01, 2023 onwards.</w:t>
      </w:r>
    </w:p>
    <w:p w14:paraId="5E982E67" w14:textId="77777777" w:rsidR="00221123" w:rsidRPr="00221123" w:rsidRDefault="00221123" w:rsidP="00221123">
      <w:pPr>
        <w:numPr>
          <w:ilvl w:val="0"/>
          <w:numId w:val="13"/>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 xml:space="preserve">The amount of subsidy for devices deployed in special focus areas, viz., North Eastern States, Union Territories of Jammu &amp; Kashmir and </w:t>
      </w:r>
      <w:proofErr w:type="spellStart"/>
      <w:r w:rsidRPr="00221123">
        <w:rPr>
          <w:rFonts w:ascii="Arial" w:eastAsia="Times New Roman" w:hAnsi="Arial" w:cs="Arial"/>
          <w:color w:val="000000"/>
          <w:kern w:val="0"/>
          <w:sz w:val="20"/>
          <w:szCs w:val="20"/>
          <w:lang w:eastAsia="en-IN"/>
          <w14:ligatures w14:val="none"/>
        </w:rPr>
        <w:t>Ladakh</w:t>
      </w:r>
      <w:proofErr w:type="spellEnd"/>
      <w:r w:rsidRPr="00221123">
        <w:rPr>
          <w:rFonts w:ascii="Arial" w:eastAsia="Times New Roman" w:hAnsi="Arial" w:cs="Arial"/>
          <w:color w:val="000000"/>
          <w:kern w:val="0"/>
          <w:sz w:val="20"/>
          <w:szCs w:val="20"/>
          <w:lang w:eastAsia="en-IN"/>
          <w14:ligatures w14:val="none"/>
        </w:rPr>
        <w:t>, is increased from 75% to 90% of the total cost, irrespective of the type of device, for installations made from October 01, 2023 onwards.</w:t>
      </w:r>
    </w:p>
    <w:p w14:paraId="0F39045B" w14:textId="77777777" w:rsidR="00221123" w:rsidRPr="00221123" w:rsidRDefault="00221123" w:rsidP="0022112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3. The above enhancements, along with detailed guidelines, have been incorporated in the framework of PIDF Scheme, enclosed as </w:t>
      </w:r>
      <w:hyperlink r:id="rId66" w:anchor="ANN" w:history="1">
        <w:r w:rsidRPr="00221123">
          <w:rPr>
            <w:rFonts w:ascii="Arial" w:eastAsia="Times New Roman" w:hAnsi="Arial" w:cs="Arial"/>
            <w:color w:val="0000FF"/>
            <w:kern w:val="0"/>
            <w:sz w:val="20"/>
            <w:szCs w:val="20"/>
            <w:u w:val="single"/>
            <w:lang w:eastAsia="en-IN"/>
            <w14:ligatures w14:val="none"/>
          </w:rPr>
          <w:t>Annex</w:t>
        </w:r>
      </w:hyperlink>
      <w:r w:rsidRPr="00221123">
        <w:rPr>
          <w:rFonts w:ascii="Arial" w:eastAsia="Times New Roman" w:hAnsi="Arial" w:cs="Arial"/>
          <w:color w:val="000000"/>
          <w:kern w:val="0"/>
          <w:sz w:val="20"/>
          <w:szCs w:val="20"/>
          <w:lang w:eastAsia="en-IN"/>
          <w14:ligatures w14:val="none"/>
        </w:rPr>
        <w:t>.</w:t>
      </w:r>
    </w:p>
    <w:p w14:paraId="1968CFDB" w14:textId="77777777" w:rsidR="00221123" w:rsidRPr="00221123" w:rsidRDefault="00221123" w:rsidP="0022112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4. These instructions are issued under Section 18 read with Section 10 (2) of Payment and Settlement Systems Act, 2007 (Act 51 of 2007).</w:t>
      </w:r>
    </w:p>
    <w:p w14:paraId="64FAD242" w14:textId="77777777" w:rsidR="00221123" w:rsidRPr="00221123" w:rsidRDefault="00221123" w:rsidP="0022112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Yours faithfully,</w:t>
      </w:r>
    </w:p>
    <w:p w14:paraId="056115AE" w14:textId="788976AB" w:rsidR="00221123" w:rsidRDefault="00221123" w:rsidP="00221123">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221123">
        <w:rPr>
          <w:rFonts w:ascii="Arial" w:eastAsia="Times New Roman" w:hAnsi="Arial" w:cs="Arial"/>
          <w:color w:val="000000"/>
          <w:kern w:val="0"/>
          <w:sz w:val="20"/>
          <w:szCs w:val="20"/>
          <w:lang w:eastAsia="en-IN"/>
          <w14:ligatures w14:val="none"/>
        </w:rPr>
        <w:t>(</w:t>
      </w:r>
      <w:proofErr w:type="spellStart"/>
      <w:r w:rsidRPr="00221123">
        <w:rPr>
          <w:rFonts w:ascii="Arial" w:eastAsia="Times New Roman" w:hAnsi="Arial" w:cs="Arial"/>
          <w:color w:val="000000"/>
          <w:kern w:val="0"/>
          <w:sz w:val="20"/>
          <w:szCs w:val="20"/>
          <w:lang w:eastAsia="en-IN"/>
          <w14:ligatures w14:val="none"/>
        </w:rPr>
        <w:t>Gunveer</w:t>
      </w:r>
      <w:proofErr w:type="spellEnd"/>
      <w:r w:rsidRPr="00221123">
        <w:rPr>
          <w:rFonts w:ascii="Arial" w:eastAsia="Times New Roman" w:hAnsi="Arial" w:cs="Arial"/>
          <w:color w:val="000000"/>
          <w:kern w:val="0"/>
          <w:sz w:val="20"/>
          <w:szCs w:val="20"/>
          <w:lang w:eastAsia="en-IN"/>
          <w14:ligatures w14:val="none"/>
        </w:rPr>
        <w:t xml:space="preserve"> Singh)</w:t>
      </w:r>
      <w:r w:rsidRPr="00221123">
        <w:rPr>
          <w:rFonts w:ascii="Arial" w:eastAsia="Times New Roman" w:hAnsi="Arial" w:cs="Arial"/>
          <w:color w:val="000000"/>
          <w:kern w:val="0"/>
          <w:sz w:val="20"/>
          <w:szCs w:val="20"/>
          <w:lang w:eastAsia="en-IN"/>
          <w14:ligatures w14:val="none"/>
        </w:rPr>
        <w:br/>
        <w:t>Chief General Manager-in-Charge</w:t>
      </w:r>
    </w:p>
    <w:p w14:paraId="4C9A82BE" w14:textId="5191E223" w:rsidR="00221123" w:rsidRDefault="000729E7" w:rsidP="00221123">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729E7">
        <w:rPr>
          <w:rFonts w:ascii="Arial" w:eastAsia="Times New Roman" w:hAnsi="Arial" w:cs="Arial"/>
          <w:color w:val="000000"/>
          <w:kern w:val="0"/>
          <w:sz w:val="20"/>
          <w:szCs w:val="20"/>
          <w:lang w:eastAsia="en-IN"/>
          <w14:ligatures w14:val="none"/>
        </w:rPr>
        <w:t>For more details, Kindly refer:</w:t>
      </w:r>
    </w:p>
    <w:p w14:paraId="53922A55" w14:textId="78F94DE3" w:rsidR="00221123" w:rsidRDefault="00221123" w:rsidP="00221123">
      <w:pPr>
        <w:spacing w:before="100" w:beforeAutospacing="1" w:after="100" w:afterAutospacing="1" w:line="240" w:lineRule="auto"/>
        <w:rPr>
          <w:rFonts w:ascii="Arial" w:eastAsia="Times New Roman" w:hAnsi="Arial" w:cs="Arial"/>
          <w:color w:val="000000"/>
          <w:kern w:val="0"/>
          <w:sz w:val="20"/>
          <w:szCs w:val="20"/>
          <w:lang w:eastAsia="en-IN"/>
          <w14:ligatures w14:val="none"/>
        </w:rPr>
      </w:pPr>
      <w:hyperlink r:id="rId67" w:history="1">
        <w:r w:rsidRPr="00FC240A">
          <w:rPr>
            <w:rStyle w:val="Hyperlink"/>
            <w:rFonts w:ascii="Arial" w:eastAsia="Times New Roman" w:hAnsi="Arial" w:cs="Arial"/>
            <w:kern w:val="0"/>
            <w:sz w:val="20"/>
            <w:szCs w:val="20"/>
            <w:lang w:eastAsia="en-IN"/>
            <w14:ligatures w14:val="none"/>
          </w:rPr>
          <w:t>https://rbi.org.in/Scripts/NotificationUser.aspx?Id=12584&amp;Mode=0</w:t>
        </w:r>
      </w:hyperlink>
    </w:p>
    <w:p w14:paraId="3F9B1C86" w14:textId="0F2E01CB" w:rsidR="00221123" w:rsidRDefault="00221123" w:rsidP="00221123">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7E3D228E" w14:textId="16F78AC0" w:rsidR="00221123" w:rsidRDefault="00221123" w:rsidP="00221123">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3192A006" w14:textId="3A98F539" w:rsidR="00221123" w:rsidRDefault="00221123" w:rsidP="00221123">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r w:rsidRPr="00221123">
        <w:rPr>
          <w:rFonts w:eastAsia="Times New Roman" w:cstheme="minorHAnsi"/>
          <w:b/>
          <w:color w:val="000000"/>
          <w:kern w:val="0"/>
          <w:sz w:val="24"/>
          <w:szCs w:val="24"/>
          <w:lang w:eastAsia="en-IN"/>
          <w14:ligatures w14:val="none"/>
        </w:rPr>
        <w:lastRenderedPageBreak/>
        <w:t>Fair Lending Practice - Penal Charges in Loan Accounts: Extension of Timeline for Implementation of Instructions</w:t>
      </w:r>
    </w:p>
    <w:p w14:paraId="0CD6A951" w14:textId="77777777" w:rsidR="003C095B" w:rsidRPr="003C095B" w:rsidRDefault="003C095B" w:rsidP="003C095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C095B">
        <w:rPr>
          <w:rFonts w:ascii="Arial" w:eastAsia="Times New Roman" w:hAnsi="Arial" w:cs="Arial"/>
          <w:color w:val="000000"/>
          <w:kern w:val="0"/>
          <w:sz w:val="20"/>
          <w:szCs w:val="20"/>
          <w:lang w:eastAsia="en-IN"/>
          <w14:ligatures w14:val="none"/>
        </w:rPr>
        <w:t>RBI/2023-24/102</w:t>
      </w:r>
      <w:r w:rsidRPr="003C095B">
        <w:rPr>
          <w:rFonts w:ascii="Arial" w:eastAsia="Times New Roman" w:hAnsi="Arial" w:cs="Arial"/>
          <w:color w:val="000000"/>
          <w:kern w:val="0"/>
          <w:sz w:val="20"/>
          <w:szCs w:val="20"/>
          <w:lang w:eastAsia="en-IN"/>
          <w14:ligatures w14:val="none"/>
        </w:rPr>
        <w:br/>
        <w:t>DoR.MCS.REC.61/01.01.001/2023-24</w:t>
      </w:r>
    </w:p>
    <w:p w14:paraId="222A2F04" w14:textId="77777777" w:rsidR="003C095B" w:rsidRPr="003C095B" w:rsidRDefault="003C095B" w:rsidP="003C095B">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3C095B">
        <w:rPr>
          <w:rFonts w:ascii="Arial" w:eastAsia="Times New Roman" w:hAnsi="Arial" w:cs="Arial"/>
          <w:color w:val="000000"/>
          <w:kern w:val="0"/>
          <w:sz w:val="20"/>
          <w:szCs w:val="20"/>
          <w:lang w:eastAsia="en-IN"/>
          <w14:ligatures w14:val="none"/>
        </w:rPr>
        <w:t>December 29, 2023</w:t>
      </w:r>
    </w:p>
    <w:p w14:paraId="475A74D5" w14:textId="77777777" w:rsidR="003C095B" w:rsidRPr="003C095B" w:rsidRDefault="003C095B" w:rsidP="003C095B">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3C095B">
        <w:rPr>
          <w:rFonts w:ascii="Arial" w:eastAsia="Times New Roman" w:hAnsi="Arial" w:cs="Arial"/>
          <w:color w:val="000000"/>
          <w:kern w:val="0"/>
          <w:sz w:val="20"/>
          <w:szCs w:val="20"/>
          <w:lang w:eastAsia="en-IN"/>
          <w14:ligatures w14:val="none"/>
        </w:rPr>
        <w:t>All Commercial Banks (including Small Finance Banks, Local Area Banks and Regional Rural Banks, excluding Payments Banks)</w:t>
      </w:r>
      <w:r w:rsidRPr="003C095B">
        <w:rPr>
          <w:rFonts w:ascii="Arial" w:eastAsia="Times New Roman" w:hAnsi="Arial" w:cs="Arial"/>
          <w:color w:val="000000"/>
          <w:kern w:val="0"/>
          <w:sz w:val="20"/>
          <w:szCs w:val="20"/>
          <w:lang w:eastAsia="en-IN"/>
          <w14:ligatures w14:val="none"/>
        </w:rPr>
        <w:br/>
        <w:t>All Primary (Urban) Co-operative Banks</w:t>
      </w:r>
      <w:r w:rsidRPr="003C095B">
        <w:rPr>
          <w:rFonts w:ascii="Arial" w:eastAsia="Times New Roman" w:hAnsi="Arial" w:cs="Arial"/>
          <w:color w:val="000000"/>
          <w:kern w:val="0"/>
          <w:sz w:val="20"/>
          <w:szCs w:val="20"/>
          <w:lang w:eastAsia="en-IN"/>
          <w14:ligatures w14:val="none"/>
        </w:rPr>
        <w:br/>
        <w:t>All NBFCs (including HFCs) and</w:t>
      </w:r>
      <w:r w:rsidRPr="003C095B">
        <w:rPr>
          <w:rFonts w:ascii="Arial" w:eastAsia="Times New Roman" w:hAnsi="Arial" w:cs="Arial"/>
          <w:color w:val="000000"/>
          <w:kern w:val="0"/>
          <w:sz w:val="20"/>
          <w:szCs w:val="20"/>
          <w:lang w:eastAsia="en-IN"/>
          <w14:ligatures w14:val="none"/>
        </w:rPr>
        <w:br/>
        <w:t xml:space="preserve">All India Financial Institutions (EXIM Bank, NABARD, NHB, SIDBI and </w:t>
      </w:r>
      <w:proofErr w:type="spellStart"/>
      <w:r w:rsidRPr="003C095B">
        <w:rPr>
          <w:rFonts w:ascii="Arial" w:eastAsia="Times New Roman" w:hAnsi="Arial" w:cs="Arial"/>
          <w:color w:val="000000"/>
          <w:kern w:val="0"/>
          <w:sz w:val="20"/>
          <w:szCs w:val="20"/>
          <w:lang w:eastAsia="en-IN"/>
          <w14:ligatures w14:val="none"/>
        </w:rPr>
        <w:t>NaBFID</w:t>
      </w:r>
      <w:proofErr w:type="spellEnd"/>
      <w:r w:rsidRPr="003C095B">
        <w:rPr>
          <w:rFonts w:ascii="Arial" w:eastAsia="Times New Roman" w:hAnsi="Arial" w:cs="Arial"/>
          <w:color w:val="000000"/>
          <w:kern w:val="0"/>
          <w:sz w:val="20"/>
          <w:szCs w:val="20"/>
          <w:lang w:eastAsia="en-IN"/>
          <w14:ligatures w14:val="none"/>
        </w:rPr>
        <w:t>)</w:t>
      </w:r>
    </w:p>
    <w:p w14:paraId="7440FB0C" w14:textId="77777777" w:rsidR="003C095B" w:rsidRPr="003C095B" w:rsidRDefault="003C095B" w:rsidP="003C095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C095B">
        <w:rPr>
          <w:rFonts w:ascii="Arial" w:eastAsia="Times New Roman" w:hAnsi="Arial" w:cs="Arial"/>
          <w:color w:val="000000"/>
          <w:kern w:val="0"/>
          <w:sz w:val="20"/>
          <w:szCs w:val="20"/>
          <w:lang w:eastAsia="en-IN"/>
          <w14:ligatures w14:val="none"/>
        </w:rPr>
        <w:t>Madam / Dear Sir,</w:t>
      </w:r>
    </w:p>
    <w:p w14:paraId="7BEBFC3C" w14:textId="77777777" w:rsidR="003C095B" w:rsidRPr="003C095B" w:rsidRDefault="003C095B" w:rsidP="003C095B">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3C095B">
        <w:rPr>
          <w:rFonts w:ascii="Arial" w:eastAsia="Times New Roman" w:hAnsi="Arial" w:cs="Arial"/>
          <w:b/>
          <w:bCs/>
          <w:color w:val="000000"/>
          <w:kern w:val="0"/>
          <w:sz w:val="20"/>
          <w:szCs w:val="20"/>
          <w:lang w:eastAsia="en-IN"/>
          <w14:ligatures w14:val="none"/>
        </w:rPr>
        <w:t>Fair Lending Practice - Penal Charges in Loan Accounts: Extension of Timeline for Implementation of Instructions</w:t>
      </w:r>
    </w:p>
    <w:p w14:paraId="273873D2" w14:textId="77777777" w:rsidR="003C095B" w:rsidRPr="003C095B" w:rsidRDefault="003C095B" w:rsidP="003C095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C095B">
        <w:rPr>
          <w:rFonts w:ascii="Arial" w:eastAsia="Times New Roman" w:hAnsi="Arial" w:cs="Arial"/>
          <w:color w:val="000000"/>
          <w:kern w:val="0"/>
          <w:sz w:val="20"/>
          <w:szCs w:val="20"/>
          <w:lang w:eastAsia="en-IN"/>
          <w14:ligatures w14:val="none"/>
        </w:rPr>
        <w:t>Reference is invited to </w:t>
      </w:r>
      <w:hyperlink r:id="rId68" w:history="1">
        <w:r w:rsidRPr="003C095B">
          <w:rPr>
            <w:rFonts w:ascii="Arial" w:eastAsia="Times New Roman" w:hAnsi="Arial" w:cs="Arial"/>
            <w:color w:val="0000FF"/>
            <w:kern w:val="0"/>
            <w:sz w:val="20"/>
            <w:szCs w:val="20"/>
            <w:u w:val="single"/>
            <w:lang w:eastAsia="en-IN"/>
            <w14:ligatures w14:val="none"/>
          </w:rPr>
          <w:t>RBI circular DoR.MCS.REC.28/01.01.001/2023-24 dated August 18, 2023</w:t>
        </w:r>
      </w:hyperlink>
      <w:r w:rsidRPr="003C095B">
        <w:rPr>
          <w:rFonts w:ascii="Arial" w:eastAsia="Times New Roman" w:hAnsi="Arial" w:cs="Arial"/>
          <w:color w:val="000000"/>
          <w:kern w:val="0"/>
          <w:sz w:val="20"/>
          <w:szCs w:val="20"/>
          <w:lang w:eastAsia="en-IN"/>
          <w14:ligatures w14:val="none"/>
        </w:rPr>
        <w:t> on ‘Fair Lending Practice - Penal Charges in Loan Accounts’.</w:t>
      </w:r>
    </w:p>
    <w:p w14:paraId="3BC01A07" w14:textId="77777777" w:rsidR="003C095B" w:rsidRPr="003C095B" w:rsidRDefault="003C095B" w:rsidP="003C095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C095B">
        <w:rPr>
          <w:rFonts w:ascii="Arial" w:eastAsia="Times New Roman" w:hAnsi="Arial" w:cs="Arial"/>
          <w:color w:val="000000"/>
          <w:kern w:val="0"/>
          <w:sz w:val="20"/>
          <w:szCs w:val="20"/>
          <w:lang w:eastAsia="en-IN"/>
          <w14:ligatures w14:val="none"/>
        </w:rPr>
        <w:t>2. In terms of paragraph 3 (viii) of the circular, the instructions were to come into effect from January 1, 2024. However, considering that certain clarifications and additional time has been sought by some regulated entities (REs) to reconfigure their internal systems and operationalize the circular, it has been decided to extend the timeline for implementation of the instructions by three months. Accordingly, REs shall ensure that the instructions are implemented in respect of all the fresh loans availed from April 1, 2024 onwards. In the case of existing loans, the switchover to new penal charges regime shall be ensured on the next review/ renewal date falling on or after April 1, 2024, but not later than June 30, 2024.</w:t>
      </w:r>
    </w:p>
    <w:p w14:paraId="53B3571B" w14:textId="77777777" w:rsidR="003C095B" w:rsidRPr="003C095B" w:rsidRDefault="003C095B" w:rsidP="003C095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C095B">
        <w:rPr>
          <w:rFonts w:ascii="Arial" w:eastAsia="Times New Roman" w:hAnsi="Arial" w:cs="Arial"/>
          <w:color w:val="000000"/>
          <w:kern w:val="0"/>
          <w:sz w:val="20"/>
          <w:szCs w:val="20"/>
          <w:lang w:eastAsia="en-IN"/>
          <w14:ligatures w14:val="none"/>
        </w:rPr>
        <w:t>3. A set of </w:t>
      </w:r>
      <w:hyperlink r:id="rId69" w:tgtFrame="_blank" w:history="1">
        <w:r w:rsidRPr="003C095B">
          <w:rPr>
            <w:rFonts w:ascii="Arial" w:eastAsia="Times New Roman" w:hAnsi="Arial" w:cs="Arial"/>
            <w:color w:val="0000FF"/>
            <w:kern w:val="0"/>
            <w:sz w:val="20"/>
            <w:szCs w:val="20"/>
            <w:u w:val="single"/>
            <w:lang w:eastAsia="en-IN"/>
            <w14:ligatures w14:val="none"/>
          </w:rPr>
          <w:t>frequently asked questions (FAQs)</w:t>
        </w:r>
      </w:hyperlink>
      <w:r w:rsidRPr="003C095B">
        <w:rPr>
          <w:rFonts w:ascii="Arial" w:eastAsia="Times New Roman" w:hAnsi="Arial" w:cs="Arial"/>
          <w:color w:val="000000"/>
          <w:kern w:val="0"/>
          <w:sz w:val="20"/>
          <w:szCs w:val="20"/>
          <w:lang w:eastAsia="en-IN"/>
          <w14:ligatures w14:val="none"/>
        </w:rPr>
        <w:t> providing clarifications related to implementation of the circular will be uploaded in the FAQs section of the RBI website shortly.</w:t>
      </w:r>
    </w:p>
    <w:p w14:paraId="22219B79" w14:textId="77777777" w:rsidR="003C095B" w:rsidRPr="003C095B" w:rsidRDefault="003C095B" w:rsidP="003C095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C095B">
        <w:rPr>
          <w:rFonts w:ascii="Arial" w:eastAsia="Times New Roman" w:hAnsi="Arial" w:cs="Arial"/>
          <w:color w:val="000000"/>
          <w:kern w:val="0"/>
          <w:sz w:val="20"/>
          <w:szCs w:val="20"/>
          <w:lang w:eastAsia="en-IN"/>
          <w14:ligatures w14:val="none"/>
        </w:rPr>
        <w:t>Yours faithfully,</w:t>
      </w:r>
    </w:p>
    <w:p w14:paraId="7E5643AD" w14:textId="77777777" w:rsidR="003C095B" w:rsidRPr="003C095B" w:rsidRDefault="003C095B" w:rsidP="003C095B">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3C095B">
        <w:rPr>
          <w:rFonts w:ascii="Arial" w:eastAsia="Times New Roman" w:hAnsi="Arial" w:cs="Arial"/>
          <w:color w:val="000000"/>
          <w:kern w:val="0"/>
          <w:sz w:val="20"/>
          <w:szCs w:val="20"/>
          <w:lang w:eastAsia="en-IN"/>
          <w14:ligatures w14:val="none"/>
        </w:rPr>
        <w:t xml:space="preserve">(Santosh Kumar </w:t>
      </w:r>
      <w:proofErr w:type="spellStart"/>
      <w:r w:rsidRPr="003C095B">
        <w:rPr>
          <w:rFonts w:ascii="Arial" w:eastAsia="Times New Roman" w:hAnsi="Arial" w:cs="Arial"/>
          <w:color w:val="000000"/>
          <w:kern w:val="0"/>
          <w:sz w:val="20"/>
          <w:szCs w:val="20"/>
          <w:lang w:eastAsia="en-IN"/>
          <w14:ligatures w14:val="none"/>
        </w:rPr>
        <w:t>Panigrahy</w:t>
      </w:r>
      <w:proofErr w:type="spellEnd"/>
      <w:r w:rsidRPr="003C095B">
        <w:rPr>
          <w:rFonts w:ascii="Arial" w:eastAsia="Times New Roman" w:hAnsi="Arial" w:cs="Arial"/>
          <w:color w:val="000000"/>
          <w:kern w:val="0"/>
          <w:sz w:val="20"/>
          <w:szCs w:val="20"/>
          <w:lang w:eastAsia="en-IN"/>
          <w14:ligatures w14:val="none"/>
        </w:rPr>
        <w:t>)</w:t>
      </w:r>
      <w:r w:rsidRPr="003C095B">
        <w:rPr>
          <w:rFonts w:ascii="Arial" w:eastAsia="Times New Roman" w:hAnsi="Arial" w:cs="Arial"/>
          <w:color w:val="000000"/>
          <w:kern w:val="0"/>
          <w:sz w:val="20"/>
          <w:szCs w:val="20"/>
          <w:lang w:eastAsia="en-IN"/>
          <w14:ligatures w14:val="none"/>
        </w:rPr>
        <w:br/>
        <w:t>Chief General Manager</w:t>
      </w:r>
    </w:p>
    <w:p w14:paraId="190468FF" w14:textId="52345509" w:rsidR="00221123" w:rsidRPr="00CF3A6C" w:rsidRDefault="000729E7" w:rsidP="00221123">
      <w:pPr>
        <w:spacing w:before="100" w:beforeAutospacing="1" w:after="100" w:afterAutospacing="1" w:line="240" w:lineRule="auto"/>
        <w:jc w:val="both"/>
        <w:rPr>
          <w:rFonts w:eastAsia="Times New Roman" w:cstheme="minorHAnsi"/>
          <w:color w:val="000000"/>
          <w:kern w:val="0"/>
          <w:sz w:val="24"/>
          <w:szCs w:val="24"/>
          <w:lang w:eastAsia="en-IN"/>
          <w14:ligatures w14:val="none"/>
        </w:rPr>
      </w:pPr>
      <w:r w:rsidRPr="00CF3A6C">
        <w:rPr>
          <w:rFonts w:eastAsia="Times New Roman" w:cstheme="minorHAnsi"/>
          <w:color w:val="000000"/>
          <w:kern w:val="0"/>
          <w:sz w:val="24"/>
          <w:szCs w:val="24"/>
          <w:lang w:eastAsia="en-IN"/>
          <w14:ligatures w14:val="none"/>
        </w:rPr>
        <w:t>For more details, Kindly refer:</w:t>
      </w:r>
    </w:p>
    <w:p w14:paraId="1AE09783" w14:textId="7E10FDA9" w:rsidR="003C095B" w:rsidRPr="004B7CCA" w:rsidRDefault="003C095B" w:rsidP="00221123">
      <w:pPr>
        <w:spacing w:before="100" w:beforeAutospacing="1" w:after="100" w:afterAutospacing="1" w:line="240" w:lineRule="auto"/>
        <w:jc w:val="both"/>
        <w:rPr>
          <w:rFonts w:eastAsia="Times New Roman" w:cstheme="minorHAnsi"/>
          <w:color w:val="000000"/>
          <w:kern w:val="0"/>
          <w:sz w:val="24"/>
          <w:szCs w:val="24"/>
          <w:lang w:eastAsia="en-IN"/>
          <w14:ligatures w14:val="none"/>
        </w:rPr>
      </w:pPr>
      <w:hyperlink r:id="rId70" w:history="1">
        <w:r w:rsidRPr="004B7CCA">
          <w:rPr>
            <w:rStyle w:val="Hyperlink"/>
            <w:rFonts w:eastAsia="Times New Roman" w:cstheme="minorHAnsi"/>
            <w:kern w:val="0"/>
            <w:sz w:val="24"/>
            <w:szCs w:val="24"/>
            <w:lang w:eastAsia="en-IN"/>
            <w14:ligatures w14:val="none"/>
          </w:rPr>
          <w:t>https://rbi.org.in/Scripts/NotificationUser.aspx?Id=12585&amp;Mode=0</w:t>
        </w:r>
      </w:hyperlink>
    </w:p>
    <w:p w14:paraId="02473000" w14:textId="6CE02C43" w:rsidR="003C095B" w:rsidRDefault="003C095B" w:rsidP="00221123">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6F0EE785" w14:textId="29D4C9C9" w:rsidR="003C095B" w:rsidRDefault="003C095B" w:rsidP="00221123">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634DF038" w14:textId="40058A22" w:rsidR="003C095B" w:rsidRDefault="003C095B" w:rsidP="00221123">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2F910282" w14:textId="691A0BFE" w:rsidR="003C095B" w:rsidRDefault="003C095B" w:rsidP="00221123">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274AF627" w14:textId="01D1F8B5" w:rsidR="003C095B" w:rsidRDefault="003C095B" w:rsidP="00221123">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43B9C3A8" w14:textId="6C6E5D46" w:rsidR="003C095B" w:rsidRDefault="003C095B" w:rsidP="00221123">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60FD46DB" w14:textId="20320719" w:rsidR="003C095B" w:rsidRDefault="003C095B" w:rsidP="00221123">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r w:rsidRPr="003C095B">
        <w:rPr>
          <w:rFonts w:eastAsia="Times New Roman" w:cstheme="minorHAnsi"/>
          <w:b/>
          <w:color w:val="000000"/>
          <w:kern w:val="0"/>
          <w:sz w:val="24"/>
          <w:szCs w:val="24"/>
          <w:lang w:eastAsia="en-IN"/>
          <w14:ligatures w14:val="none"/>
        </w:rPr>
        <w:lastRenderedPageBreak/>
        <w:t>Master Direction - Reserve Bank of India (Internal Ombudsman for Regulated Entities) Directions, 2023</w:t>
      </w:r>
    </w:p>
    <w:p w14:paraId="4490F489" w14:textId="77777777" w:rsidR="003C095B" w:rsidRPr="003C095B" w:rsidRDefault="003C095B" w:rsidP="003C095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C095B">
        <w:rPr>
          <w:rFonts w:ascii="Arial" w:eastAsia="Times New Roman" w:hAnsi="Arial" w:cs="Arial"/>
          <w:color w:val="000000"/>
          <w:kern w:val="0"/>
          <w:sz w:val="20"/>
          <w:szCs w:val="20"/>
          <w:lang w:eastAsia="en-IN"/>
          <w14:ligatures w14:val="none"/>
        </w:rPr>
        <w:t>RBI/CEPD/2023-24/108</w:t>
      </w:r>
      <w:r w:rsidRPr="003C095B">
        <w:rPr>
          <w:rFonts w:ascii="Arial" w:eastAsia="Times New Roman" w:hAnsi="Arial" w:cs="Arial"/>
          <w:color w:val="000000"/>
          <w:kern w:val="0"/>
          <w:sz w:val="20"/>
          <w:szCs w:val="20"/>
          <w:lang w:eastAsia="en-IN"/>
          <w14:ligatures w14:val="none"/>
        </w:rPr>
        <w:br/>
        <w:t>CEPD.PRD.No.S1228/13.01.019/2023-24</w:t>
      </w:r>
    </w:p>
    <w:p w14:paraId="080205C3" w14:textId="77777777" w:rsidR="003C095B" w:rsidRPr="003C095B" w:rsidRDefault="003C095B" w:rsidP="003C095B">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3C095B">
        <w:rPr>
          <w:rFonts w:ascii="Arial" w:eastAsia="Times New Roman" w:hAnsi="Arial" w:cs="Arial"/>
          <w:color w:val="000000"/>
          <w:kern w:val="0"/>
          <w:sz w:val="20"/>
          <w:szCs w:val="20"/>
          <w:lang w:eastAsia="en-IN"/>
          <w14:ligatures w14:val="none"/>
        </w:rPr>
        <w:t>December 29, 2023</w:t>
      </w:r>
    </w:p>
    <w:p w14:paraId="50A3C316" w14:textId="77777777" w:rsidR="003C095B" w:rsidRPr="003C095B" w:rsidRDefault="003C095B" w:rsidP="003C095B">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3C095B">
        <w:rPr>
          <w:rFonts w:ascii="Arial" w:eastAsia="Times New Roman" w:hAnsi="Arial" w:cs="Arial"/>
          <w:color w:val="000000"/>
          <w:kern w:val="0"/>
          <w:sz w:val="20"/>
          <w:szCs w:val="20"/>
          <w:lang w:eastAsia="en-IN"/>
          <w14:ligatures w14:val="none"/>
        </w:rPr>
        <w:t>(1) Chairman/Managing Director/CEO of All Scheduled Commercial Banks (excluding RRBs)</w:t>
      </w:r>
      <w:r w:rsidRPr="003C095B">
        <w:rPr>
          <w:rFonts w:ascii="Arial" w:eastAsia="Times New Roman" w:hAnsi="Arial" w:cs="Arial"/>
          <w:color w:val="000000"/>
          <w:kern w:val="0"/>
          <w:sz w:val="20"/>
          <w:szCs w:val="20"/>
          <w:lang w:eastAsia="en-IN"/>
          <w14:ligatures w14:val="none"/>
        </w:rPr>
        <w:br/>
        <w:t>(2) Chairman/Managing Director/CEO of All NBFCs</w:t>
      </w:r>
      <w:r w:rsidRPr="003C095B">
        <w:rPr>
          <w:rFonts w:ascii="Arial" w:eastAsia="Times New Roman" w:hAnsi="Arial" w:cs="Arial"/>
          <w:color w:val="000000"/>
          <w:kern w:val="0"/>
          <w:sz w:val="20"/>
          <w:szCs w:val="20"/>
          <w:lang w:eastAsia="en-IN"/>
          <w14:ligatures w14:val="none"/>
        </w:rPr>
        <w:br/>
        <w:t>(3) Chairman/Managing Director/CEO of Non-Bank System Participants</w:t>
      </w:r>
      <w:r w:rsidRPr="003C095B">
        <w:rPr>
          <w:rFonts w:ascii="Arial" w:eastAsia="Times New Roman" w:hAnsi="Arial" w:cs="Arial"/>
          <w:color w:val="000000"/>
          <w:kern w:val="0"/>
          <w:sz w:val="20"/>
          <w:szCs w:val="20"/>
          <w:lang w:eastAsia="en-IN"/>
          <w14:ligatures w14:val="none"/>
        </w:rPr>
        <w:br/>
        <w:t>(4) Chairman/Managing Director/CEO of All Credit Information Companies</w:t>
      </w:r>
    </w:p>
    <w:p w14:paraId="357FF424" w14:textId="77777777" w:rsidR="003C095B" w:rsidRPr="003C095B" w:rsidRDefault="003C095B" w:rsidP="003C095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C095B">
        <w:rPr>
          <w:rFonts w:ascii="Arial" w:eastAsia="Times New Roman" w:hAnsi="Arial" w:cs="Arial"/>
          <w:color w:val="000000"/>
          <w:kern w:val="0"/>
          <w:sz w:val="20"/>
          <w:szCs w:val="20"/>
          <w:lang w:eastAsia="en-IN"/>
          <w14:ligatures w14:val="none"/>
        </w:rPr>
        <w:t>Dear Sir / Madam,</w:t>
      </w:r>
    </w:p>
    <w:p w14:paraId="08C5D80E" w14:textId="77777777" w:rsidR="003C095B" w:rsidRPr="003C095B" w:rsidRDefault="003C095B" w:rsidP="003C095B">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3C095B">
        <w:rPr>
          <w:rFonts w:ascii="Arial" w:eastAsia="Times New Roman" w:hAnsi="Arial" w:cs="Arial"/>
          <w:b/>
          <w:bCs/>
          <w:color w:val="000000"/>
          <w:kern w:val="0"/>
          <w:sz w:val="20"/>
          <w:szCs w:val="20"/>
          <w:lang w:eastAsia="en-IN"/>
          <w14:ligatures w14:val="none"/>
        </w:rPr>
        <w:t>Master Direction - Reserve Bank of India (Internal Ombudsman for Regulated Entities) Directions, 2023</w:t>
      </w:r>
    </w:p>
    <w:p w14:paraId="28FE55CC" w14:textId="77777777" w:rsidR="003C095B" w:rsidRPr="003C095B" w:rsidRDefault="003C095B" w:rsidP="003C095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C095B">
        <w:rPr>
          <w:rFonts w:ascii="Arial" w:eastAsia="Times New Roman" w:hAnsi="Arial" w:cs="Arial"/>
          <w:color w:val="000000"/>
          <w:kern w:val="0"/>
          <w:sz w:val="20"/>
          <w:szCs w:val="20"/>
          <w:lang w:eastAsia="en-IN"/>
          <w14:ligatures w14:val="none"/>
        </w:rPr>
        <w:t>The Reserve Bank institutionalized the Internal Ombudsman mechanism in various regulated entities vide instructions / guidelines contained in the </w:t>
      </w:r>
      <w:hyperlink r:id="rId71" w:tgtFrame="_blank" w:history="1">
        <w:r w:rsidRPr="003C095B">
          <w:rPr>
            <w:rFonts w:ascii="Arial" w:eastAsia="Times New Roman" w:hAnsi="Arial" w:cs="Arial"/>
            <w:color w:val="0000FF"/>
            <w:kern w:val="0"/>
            <w:sz w:val="20"/>
            <w:szCs w:val="20"/>
            <w:u w:val="single"/>
            <w:lang w:eastAsia="en-IN"/>
            <w14:ligatures w14:val="none"/>
          </w:rPr>
          <w:t>Internal Ombudsman Scheme 2018- Implementation by banks dated September 3, 2018</w:t>
        </w:r>
      </w:hyperlink>
      <w:r w:rsidRPr="003C095B">
        <w:rPr>
          <w:rFonts w:ascii="Arial" w:eastAsia="Times New Roman" w:hAnsi="Arial" w:cs="Arial"/>
          <w:color w:val="000000"/>
          <w:kern w:val="0"/>
          <w:sz w:val="20"/>
          <w:szCs w:val="20"/>
          <w:lang w:eastAsia="en-IN"/>
          <w14:ligatures w14:val="none"/>
        </w:rPr>
        <w:t>, Internal Ombudsman Scheme for Non-Bank System Participants, 2019 dated October 22, 2019, </w:t>
      </w:r>
      <w:hyperlink r:id="rId72" w:tgtFrame="_blank" w:history="1">
        <w:r w:rsidRPr="003C095B">
          <w:rPr>
            <w:rFonts w:ascii="Arial" w:eastAsia="Times New Roman" w:hAnsi="Arial" w:cs="Arial"/>
            <w:color w:val="0000FF"/>
            <w:kern w:val="0"/>
            <w:sz w:val="20"/>
            <w:szCs w:val="20"/>
            <w:u w:val="single"/>
            <w:lang w:eastAsia="en-IN"/>
            <w14:ligatures w14:val="none"/>
          </w:rPr>
          <w:t>Appointment of Internal Ombudsman by Non-Banking Financial Companies dated November 15, 2021</w:t>
        </w:r>
      </w:hyperlink>
      <w:r w:rsidRPr="003C095B">
        <w:rPr>
          <w:rFonts w:ascii="Arial" w:eastAsia="Times New Roman" w:hAnsi="Arial" w:cs="Arial"/>
          <w:color w:val="000000"/>
          <w:kern w:val="0"/>
          <w:sz w:val="20"/>
          <w:szCs w:val="20"/>
          <w:lang w:eastAsia="en-IN"/>
          <w14:ligatures w14:val="none"/>
        </w:rPr>
        <w:t> and </w:t>
      </w:r>
      <w:hyperlink r:id="rId73" w:tgtFrame="_blank" w:history="1">
        <w:r w:rsidRPr="003C095B">
          <w:rPr>
            <w:rFonts w:ascii="Arial" w:eastAsia="Times New Roman" w:hAnsi="Arial" w:cs="Arial"/>
            <w:color w:val="0000FF"/>
            <w:kern w:val="0"/>
            <w:sz w:val="20"/>
            <w:szCs w:val="20"/>
            <w:u w:val="single"/>
            <w:lang w:eastAsia="en-IN"/>
            <w14:ligatures w14:val="none"/>
          </w:rPr>
          <w:t>Reserve Bank of India (Credit Information Companies - Internal Ombudsman) Direction, 2022 dated October 6, 2022</w:t>
        </w:r>
      </w:hyperlink>
      <w:r w:rsidRPr="003C095B">
        <w:rPr>
          <w:rFonts w:ascii="Arial" w:eastAsia="Times New Roman" w:hAnsi="Arial" w:cs="Arial"/>
          <w:color w:val="000000"/>
          <w:kern w:val="0"/>
          <w:sz w:val="20"/>
          <w:szCs w:val="20"/>
          <w:lang w:eastAsia="en-IN"/>
          <w14:ligatures w14:val="none"/>
        </w:rPr>
        <w:t>. The Internal Ombudsman mechanism has been set up with a view to strengthen the Internal Grievance Redress system of the regulated entities.</w:t>
      </w:r>
    </w:p>
    <w:p w14:paraId="402E3C3D" w14:textId="77777777" w:rsidR="003C095B" w:rsidRPr="003C095B" w:rsidRDefault="003C095B" w:rsidP="003C095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C095B">
        <w:rPr>
          <w:rFonts w:ascii="Arial" w:eastAsia="Times New Roman" w:hAnsi="Arial" w:cs="Arial"/>
          <w:color w:val="000000"/>
          <w:kern w:val="0"/>
          <w:sz w:val="20"/>
          <w:szCs w:val="20"/>
          <w:lang w:eastAsia="en-IN"/>
          <w14:ligatures w14:val="none"/>
        </w:rPr>
        <w:t>2. A review of Internal Ombudsman schemes has been undertaken by the Reserve Bank in line with the integration of the erstwhile three RBI Ombudsman Schemes as also with the objective to improve the customer service standards in regulated entities. The framework reaffirms that the Internal Ombudsman mechanism should work as envisaged and the Internal Ombudsman shall be positioned as an independent, apex level authority on consumer grievance redress within the regulated entities.</w:t>
      </w:r>
    </w:p>
    <w:p w14:paraId="48C9D4CA" w14:textId="77777777" w:rsidR="003C095B" w:rsidRPr="003C095B" w:rsidRDefault="003C095B" w:rsidP="003C095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C095B">
        <w:rPr>
          <w:rFonts w:ascii="Arial" w:eastAsia="Times New Roman" w:hAnsi="Arial" w:cs="Arial"/>
          <w:color w:val="000000"/>
          <w:kern w:val="0"/>
          <w:sz w:val="20"/>
          <w:szCs w:val="20"/>
          <w:lang w:eastAsia="en-IN"/>
          <w14:ligatures w14:val="none"/>
        </w:rPr>
        <w:t>3. Accordingly, in exercise of the powers conferred by Section 35A of the Banking Regulation Act, 1949, Section 45L read with 45M of the Reserve Bank of India Act, 1934, sub-section (1) of Section 11 of Credit Information Companies (Regulation) Act, 2005 and Section 18 of the Payment and Settlement Systems Act, 2007, the Reserve Bank of India, being satisfied that it is necessary and expedient in public interest to do so, hereby directs that all the regulated entities as indicated in Clause 4 of the Master Direction shall comply with the Direction with immediate effect.</w:t>
      </w:r>
    </w:p>
    <w:p w14:paraId="01F5210E" w14:textId="77777777" w:rsidR="003C095B" w:rsidRPr="003C095B" w:rsidRDefault="003C095B" w:rsidP="003C095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C095B">
        <w:rPr>
          <w:rFonts w:ascii="Arial" w:eastAsia="Times New Roman" w:hAnsi="Arial" w:cs="Arial"/>
          <w:color w:val="000000"/>
          <w:kern w:val="0"/>
          <w:sz w:val="20"/>
          <w:szCs w:val="20"/>
          <w:lang w:eastAsia="en-IN"/>
          <w14:ligatures w14:val="none"/>
        </w:rPr>
        <w:t>4. The regulated entities are further advised as follows:</w:t>
      </w:r>
    </w:p>
    <w:p w14:paraId="3401B721" w14:textId="77777777" w:rsidR="003C095B" w:rsidRPr="003C095B" w:rsidRDefault="003C095B" w:rsidP="003C095B">
      <w:pPr>
        <w:numPr>
          <w:ilvl w:val="0"/>
          <w:numId w:val="14"/>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3C095B">
        <w:rPr>
          <w:rFonts w:ascii="Arial" w:eastAsia="Times New Roman" w:hAnsi="Arial" w:cs="Arial"/>
          <w:color w:val="000000"/>
          <w:kern w:val="0"/>
          <w:sz w:val="20"/>
          <w:szCs w:val="20"/>
          <w:lang w:eastAsia="en-IN"/>
          <w14:ligatures w14:val="none"/>
        </w:rPr>
        <w:t>The Internal Ombudsman appointed by the regulated entity, under the erstwhile Internal Ombudsman Schemes / Direction shall continue to hold office till the expiry of their tenure.</w:t>
      </w:r>
    </w:p>
    <w:p w14:paraId="40DB4ACD" w14:textId="77777777" w:rsidR="003C095B" w:rsidRPr="003C095B" w:rsidRDefault="003C095B" w:rsidP="003C095B">
      <w:pPr>
        <w:numPr>
          <w:ilvl w:val="0"/>
          <w:numId w:val="14"/>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3C095B">
        <w:rPr>
          <w:rFonts w:ascii="Arial" w:eastAsia="Times New Roman" w:hAnsi="Arial" w:cs="Arial"/>
          <w:color w:val="000000"/>
          <w:kern w:val="0"/>
          <w:sz w:val="20"/>
          <w:szCs w:val="20"/>
          <w:lang w:eastAsia="en-IN"/>
          <w14:ligatures w14:val="none"/>
        </w:rPr>
        <w:t>The regulated entities not currently falling under the Internal Ombudsman Schemes / Direction may closely monitor their eligibility as per the prescribed provisions for timely appointment of Internal Ombudsman in their entity, as required.</w:t>
      </w:r>
    </w:p>
    <w:p w14:paraId="37D174D6" w14:textId="77777777" w:rsidR="003C095B" w:rsidRPr="003C095B" w:rsidRDefault="003C095B" w:rsidP="003C095B">
      <w:pPr>
        <w:numPr>
          <w:ilvl w:val="0"/>
          <w:numId w:val="14"/>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3C095B">
        <w:rPr>
          <w:rFonts w:ascii="Arial" w:eastAsia="Times New Roman" w:hAnsi="Arial" w:cs="Arial"/>
          <w:color w:val="000000"/>
          <w:kern w:val="0"/>
          <w:sz w:val="20"/>
          <w:szCs w:val="20"/>
          <w:lang w:eastAsia="en-IN"/>
          <w14:ligatures w14:val="none"/>
        </w:rPr>
        <w:t>The regulated entities are advised to forward the contact details of the Internal Ombudsman / Deputy Internal Ombudsman to Consumer Education and Protection Department, Central Office, Reserve Bank of India, 1st Floor, Amar Building, Sir P M Road, Fort, Mumbai 400 001 (e-mail: </w:t>
      </w:r>
      <w:hyperlink r:id="rId74" w:history="1">
        <w:r w:rsidRPr="003C095B">
          <w:rPr>
            <w:rFonts w:ascii="Arial" w:eastAsia="Times New Roman" w:hAnsi="Arial" w:cs="Arial"/>
            <w:color w:val="0000FF"/>
            <w:kern w:val="0"/>
            <w:sz w:val="20"/>
            <w:szCs w:val="20"/>
            <w:u w:val="single"/>
            <w:lang w:eastAsia="en-IN"/>
            <w14:ligatures w14:val="none"/>
          </w:rPr>
          <w:t>iocepd@rbi.org.in</w:t>
        </w:r>
      </w:hyperlink>
      <w:r w:rsidRPr="003C095B">
        <w:rPr>
          <w:rFonts w:ascii="Arial" w:eastAsia="Times New Roman" w:hAnsi="Arial" w:cs="Arial"/>
          <w:color w:val="000000"/>
          <w:kern w:val="0"/>
          <w:sz w:val="20"/>
          <w:szCs w:val="20"/>
          <w:lang w:eastAsia="en-IN"/>
          <w14:ligatures w14:val="none"/>
        </w:rPr>
        <w:t>) and ensure to update the same as and when there is any change.</w:t>
      </w:r>
    </w:p>
    <w:p w14:paraId="797C11D3" w14:textId="77777777" w:rsidR="003C095B" w:rsidRPr="003C095B" w:rsidRDefault="003C095B" w:rsidP="003C095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C095B">
        <w:rPr>
          <w:rFonts w:ascii="Arial" w:eastAsia="Times New Roman" w:hAnsi="Arial" w:cs="Arial"/>
          <w:color w:val="000000"/>
          <w:kern w:val="0"/>
          <w:sz w:val="20"/>
          <w:szCs w:val="20"/>
          <w:lang w:eastAsia="en-IN"/>
          <w14:ligatures w14:val="none"/>
        </w:rPr>
        <w:t>Yours faithfully,</w:t>
      </w:r>
    </w:p>
    <w:p w14:paraId="27C4D4EC" w14:textId="77777777" w:rsidR="003C095B" w:rsidRPr="003C095B" w:rsidRDefault="003C095B" w:rsidP="003C095B">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3C095B">
        <w:rPr>
          <w:rFonts w:ascii="Arial" w:eastAsia="Times New Roman" w:hAnsi="Arial" w:cs="Arial"/>
          <w:color w:val="000000"/>
          <w:kern w:val="0"/>
          <w:sz w:val="20"/>
          <w:szCs w:val="20"/>
          <w:lang w:eastAsia="en-IN"/>
          <w14:ligatures w14:val="none"/>
        </w:rPr>
        <w:t>(</w:t>
      </w:r>
      <w:proofErr w:type="spellStart"/>
      <w:r w:rsidRPr="003C095B">
        <w:rPr>
          <w:rFonts w:ascii="Arial" w:eastAsia="Times New Roman" w:hAnsi="Arial" w:cs="Arial"/>
          <w:color w:val="000000"/>
          <w:kern w:val="0"/>
          <w:sz w:val="20"/>
          <w:szCs w:val="20"/>
          <w:lang w:eastAsia="en-IN"/>
          <w14:ligatures w14:val="none"/>
        </w:rPr>
        <w:t>Neena</w:t>
      </w:r>
      <w:proofErr w:type="spellEnd"/>
      <w:r w:rsidRPr="003C095B">
        <w:rPr>
          <w:rFonts w:ascii="Arial" w:eastAsia="Times New Roman" w:hAnsi="Arial" w:cs="Arial"/>
          <w:color w:val="000000"/>
          <w:kern w:val="0"/>
          <w:sz w:val="20"/>
          <w:szCs w:val="20"/>
          <w:lang w:eastAsia="en-IN"/>
          <w14:ligatures w14:val="none"/>
        </w:rPr>
        <w:t xml:space="preserve"> </w:t>
      </w:r>
      <w:proofErr w:type="spellStart"/>
      <w:r w:rsidRPr="003C095B">
        <w:rPr>
          <w:rFonts w:ascii="Arial" w:eastAsia="Times New Roman" w:hAnsi="Arial" w:cs="Arial"/>
          <w:color w:val="000000"/>
          <w:kern w:val="0"/>
          <w:sz w:val="20"/>
          <w:szCs w:val="20"/>
          <w:lang w:eastAsia="en-IN"/>
          <w14:ligatures w14:val="none"/>
        </w:rPr>
        <w:t>Rohit</w:t>
      </w:r>
      <w:proofErr w:type="spellEnd"/>
      <w:r w:rsidRPr="003C095B">
        <w:rPr>
          <w:rFonts w:ascii="Arial" w:eastAsia="Times New Roman" w:hAnsi="Arial" w:cs="Arial"/>
          <w:color w:val="000000"/>
          <w:kern w:val="0"/>
          <w:sz w:val="20"/>
          <w:szCs w:val="20"/>
          <w:lang w:eastAsia="en-IN"/>
          <w14:ligatures w14:val="none"/>
        </w:rPr>
        <w:t xml:space="preserve"> Jain)</w:t>
      </w:r>
      <w:r w:rsidRPr="003C095B">
        <w:rPr>
          <w:rFonts w:ascii="Arial" w:eastAsia="Times New Roman" w:hAnsi="Arial" w:cs="Arial"/>
          <w:color w:val="000000"/>
          <w:kern w:val="0"/>
          <w:sz w:val="20"/>
          <w:szCs w:val="20"/>
          <w:lang w:eastAsia="en-IN"/>
          <w14:ligatures w14:val="none"/>
        </w:rPr>
        <w:br/>
        <w:t>Chief General Manager</w:t>
      </w:r>
    </w:p>
    <w:p w14:paraId="45293295" w14:textId="58865798" w:rsidR="003C095B" w:rsidRDefault="003C095B" w:rsidP="003C095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roofErr w:type="spellStart"/>
      <w:r w:rsidRPr="003C095B">
        <w:rPr>
          <w:rFonts w:ascii="Arial" w:eastAsia="Times New Roman" w:hAnsi="Arial" w:cs="Arial"/>
          <w:color w:val="000000"/>
          <w:kern w:val="0"/>
          <w:sz w:val="20"/>
          <w:szCs w:val="20"/>
          <w:lang w:eastAsia="en-IN"/>
          <w14:ligatures w14:val="none"/>
        </w:rPr>
        <w:lastRenderedPageBreak/>
        <w:t>Encl</w:t>
      </w:r>
      <w:proofErr w:type="spellEnd"/>
      <w:r w:rsidRPr="003C095B">
        <w:rPr>
          <w:rFonts w:ascii="Arial" w:eastAsia="Times New Roman" w:hAnsi="Arial" w:cs="Arial"/>
          <w:color w:val="000000"/>
          <w:kern w:val="0"/>
          <w:sz w:val="20"/>
          <w:szCs w:val="20"/>
          <w:lang w:eastAsia="en-IN"/>
          <w14:ligatures w14:val="none"/>
        </w:rPr>
        <w:t>: Master Direction - Reserve Bank of India - (Internal Ombudsman for Regulated Entities) Directions, 2023</w:t>
      </w:r>
    </w:p>
    <w:p w14:paraId="34DB376A" w14:textId="5F2C0FD4" w:rsidR="003C095B" w:rsidRDefault="000729E7" w:rsidP="003C095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729E7">
        <w:rPr>
          <w:rFonts w:ascii="Arial" w:eastAsia="Times New Roman" w:hAnsi="Arial" w:cs="Arial"/>
          <w:color w:val="000000"/>
          <w:kern w:val="0"/>
          <w:sz w:val="20"/>
          <w:szCs w:val="20"/>
          <w:lang w:eastAsia="en-IN"/>
          <w14:ligatures w14:val="none"/>
        </w:rPr>
        <w:t>For more details, Kindly refer:</w:t>
      </w:r>
    </w:p>
    <w:p w14:paraId="1671226F" w14:textId="1AD3B66E" w:rsidR="003C095B" w:rsidRDefault="003C095B" w:rsidP="003C095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hyperlink r:id="rId75" w:history="1">
        <w:r w:rsidRPr="00FC240A">
          <w:rPr>
            <w:rStyle w:val="Hyperlink"/>
            <w:rFonts w:ascii="Arial" w:eastAsia="Times New Roman" w:hAnsi="Arial" w:cs="Arial"/>
            <w:kern w:val="0"/>
            <w:sz w:val="20"/>
            <w:szCs w:val="20"/>
            <w:lang w:eastAsia="en-IN"/>
            <w14:ligatures w14:val="none"/>
          </w:rPr>
          <w:t>https://rbi.org.in/Scripts/NotificationUser.aspx?Id=12586&amp;Mode=0</w:t>
        </w:r>
      </w:hyperlink>
    </w:p>
    <w:p w14:paraId="61FC4DFD" w14:textId="470A6437" w:rsidR="003C095B" w:rsidRDefault="003C095B" w:rsidP="003C095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74B36C0B" w14:textId="2244C893" w:rsidR="003C095B" w:rsidRDefault="003C095B" w:rsidP="003C095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43CF7C81" w14:textId="77777777" w:rsidR="003C095B" w:rsidRPr="003C095B" w:rsidRDefault="003C095B" w:rsidP="003C095B">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3A472053" w14:textId="77777777" w:rsidR="003C095B" w:rsidRPr="00221123" w:rsidRDefault="003C095B" w:rsidP="00221123">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10608F13" w14:textId="77777777" w:rsidR="00221123" w:rsidRPr="00221123" w:rsidRDefault="00221123" w:rsidP="00221123">
      <w:pPr>
        <w:pStyle w:val="NormalWeb"/>
        <w:jc w:val="both"/>
        <w:rPr>
          <w:rFonts w:asciiTheme="minorHAnsi" w:hAnsiTheme="minorHAnsi" w:cstheme="minorHAnsi"/>
          <w:b/>
          <w:color w:val="000000"/>
        </w:rPr>
      </w:pPr>
    </w:p>
    <w:p w14:paraId="1168A043" w14:textId="77777777" w:rsidR="00221123" w:rsidRDefault="00221123" w:rsidP="00221123">
      <w:pPr>
        <w:pStyle w:val="NormalWeb"/>
        <w:rPr>
          <w:rFonts w:ascii="Arial" w:hAnsi="Arial" w:cs="Arial"/>
          <w:color w:val="000000"/>
          <w:sz w:val="20"/>
          <w:szCs w:val="20"/>
        </w:rPr>
      </w:pPr>
    </w:p>
    <w:p w14:paraId="6E7B5020" w14:textId="77777777" w:rsidR="00221123" w:rsidRPr="00221123" w:rsidRDefault="00221123" w:rsidP="00221123">
      <w:pPr>
        <w:spacing w:before="100" w:beforeAutospacing="1" w:after="100" w:afterAutospacing="1" w:line="240" w:lineRule="auto"/>
        <w:rPr>
          <w:rFonts w:eastAsia="Times New Roman" w:cstheme="minorHAnsi"/>
          <w:b/>
          <w:color w:val="000000"/>
          <w:kern w:val="0"/>
          <w:sz w:val="24"/>
          <w:szCs w:val="24"/>
          <w:lang w:eastAsia="en-IN"/>
          <w14:ligatures w14:val="none"/>
        </w:rPr>
      </w:pPr>
    </w:p>
    <w:p w14:paraId="506229D4" w14:textId="77777777" w:rsidR="005C19BB" w:rsidRPr="005C19BB" w:rsidRDefault="005C19BB" w:rsidP="005C19BB">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76D05DFB" w14:textId="77777777" w:rsidR="005C19BB" w:rsidRDefault="005C19BB" w:rsidP="005C19BB">
      <w:pPr>
        <w:spacing w:before="100" w:beforeAutospacing="1" w:after="100" w:afterAutospacing="1" w:line="240" w:lineRule="auto"/>
        <w:rPr>
          <w:rFonts w:eastAsia="Times New Roman" w:cstheme="minorHAnsi"/>
          <w:b/>
          <w:color w:val="000000"/>
          <w:kern w:val="0"/>
          <w:sz w:val="24"/>
          <w:szCs w:val="24"/>
          <w:lang w:eastAsia="en-IN"/>
          <w14:ligatures w14:val="none"/>
        </w:rPr>
      </w:pPr>
    </w:p>
    <w:p w14:paraId="4A063E0C" w14:textId="77777777" w:rsidR="005C19BB" w:rsidRPr="00076F7E" w:rsidRDefault="005C19BB" w:rsidP="005C19BB">
      <w:pPr>
        <w:spacing w:before="100" w:beforeAutospacing="1" w:after="100" w:afterAutospacing="1" w:line="240" w:lineRule="auto"/>
        <w:rPr>
          <w:rFonts w:eastAsia="Times New Roman" w:cstheme="minorHAnsi"/>
          <w:b/>
          <w:color w:val="000000"/>
          <w:kern w:val="0"/>
          <w:sz w:val="24"/>
          <w:szCs w:val="24"/>
          <w:lang w:eastAsia="en-IN"/>
          <w14:ligatures w14:val="none"/>
        </w:rPr>
      </w:pPr>
    </w:p>
    <w:p w14:paraId="3E9D9A5A" w14:textId="77777777" w:rsidR="00076F7E" w:rsidRPr="00076F7E" w:rsidRDefault="00076F7E"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6C636A36" w14:textId="77777777" w:rsidR="00076F7E" w:rsidRPr="00076F7E" w:rsidRDefault="00076F7E" w:rsidP="00076F7E">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750376C7" w14:textId="77777777" w:rsidR="00076F7E" w:rsidRPr="00076F7E" w:rsidRDefault="00076F7E" w:rsidP="00076F7E">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6ED88B87" w14:textId="77777777" w:rsidR="00076F7E" w:rsidRPr="00076F7E" w:rsidRDefault="00076F7E" w:rsidP="00076F7E">
      <w:pPr>
        <w:spacing w:before="100" w:beforeAutospacing="1" w:after="100" w:afterAutospacing="1" w:line="240" w:lineRule="auto"/>
        <w:rPr>
          <w:rFonts w:ascii="Arial" w:eastAsia="Times New Roman" w:hAnsi="Arial" w:cs="Arial"/>
          <w:b/>
          <w:bCs/>
          <w:color w:val="000000"/>
          <w:kern w:val="0"/>
          <w:sz w:val="20"/>
          <w:szCs w:val="20"/>
          <w:lang w:eastAsia="en-IN"/>
          <w14:ligatures w14:val="none"/>
        </w:rPr>
      </w:pPr>
    </w:p>
    <w:p w14:paraId="6701BEC7" w14:textId="77777777" w:rsidR="00C73605" w:rsidRPr="00C73605" w:rsidRDefault="00C73605" w:rsidP="00C73605">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49C920C5" w14:textId="77777777" w:rsidR="00C73605" w:rsidRPr="00C73605" w:rsidRDefault="00C73605" w:rsidP="00C73605">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4A67032B" w14:textId="53FDFAC1" w:rsidR="00B57036" w:rsidRDefault="00B57036" w:rsidP="00125ED6">
      <w:pPr>
        <w:rPr>
          <w:b/>
          <w:bCs/>
          <w:lang w:val="en-US"/>
        </w:rPr>
      </w:pPr>
    </w:p>
    <w:p w14:paraId="03161DA6" w14:textId="77777777" w:rsidR="00B57036" w:rsidRDefault="00B57036" w:rsidP="00125ED6">
      <w:pPr>
        <w:rPr>
          <w:b/>
          <w:bCs/>
          <w:lang w:val="en-US"/>
        </w:rPr>
      </w:pPr>
    </w:p>
    <w:sectPr w:rsidR="00B570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72F73"/>
    <w:multiLevelType w:val="multilevel"/>
    <w:tmpl w:val="211EF9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CE15509"/>
    <w:multiLevelType w:val="multilevel"/>
    <w:tmpl w:val="EFCABE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28942CE"/>
    <w:multiLevelType w:val="multilevel"/>
    <w:tmpl w:val="2530FB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AD62933"/>
    <w:multiLevelType w:val="multilevel"/>
    <w:tmpl w:val="A5A89F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E0C3E5E"/>
    <w:multiLevelType w:val="multilevel"/>
    <w:tmpl w:val="CE006B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6AC27E6"/>
    <w:multiLevelType w:val="multilevel"/>
    <w:tmpl w:val="C6CC1C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7CD68CD"/>
    <w:multiLevelType w:val="multilevel"/>
    <w:tmpl w:val="93187A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8083834"/>
    <w:multiLevelType w:val="hybridMultilevel"/>
    <w:tmpl w:val="B674FCE6"/>
    <w:lvl w:ilvl="0" w:tplc="9FA029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2271040"/>
    <w:multiLevelType w:val="multilevel"/>
    <w:tmpl w:val="1D56EB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4D27920"/>
    <w:multiLevelType w:val="multilevel"/>
    <w:tmpl w:val="2A88234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466A1BC8"/>
    <w:multiLevelType w:val="multilevel"/>
    <w:tmpl w:val="FD821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78E5A0B"/>
    <w:multiLevelType w:val="multilevel"/>
    <w:tmpl w:val="26D40F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B471F2B"/>
    <w:multiLevelType w:val="multilevel"/>
    <w:tmpl w:val="E6C6BF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C1238EA"/>
    <w:multiLevelType w:val="multilevel"/>
    <w:tmpl w:val="44C8FA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7"/>
  </w:num>
  <w:num w:numId="2">
    <w:abstractNumId w:val="8"/>
  </w:num>
  <w:num w:numId="3">
    <w:abstractNumId w:val="4"/>
  </w:num>
  <w:num w:numId="4">
    <w:abstractNumId w:val="13"/>
  </w:num>
  <w:num w:numId="5">
    <w:abstractNumId w:val="6"/>
  </w:num>
  <w:num w:numId="6">
    <w:abstractNumId w:val="1"/>
  </w:num>
  <w:num w:numId="7">
    <w:abstractNumId w:val="5"/>
  </w:num>
  <w:num w:numId="8">
    <w:abstractNumId w:val="10"/>
  </w:num>
  <w:num w:numId="9">
    <w:abstractNumId w:val="2"/>
  </w:num>
  <w:num w:numId="10">
    <w:abstractNumId w:val="12"/>
  </w:num>
  <w:num w:numId="11">
    <w:abstractNumId w:val="0"/>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2B"/>
    <w:rsid w:val="000729E7"/>
    <w:rsid w:val="00076F7E"/>
    <w:rsid w:val="00125ED6"/>
    <w:rsid w:val="001C3B05"/>
    <w:rsid w:val="00221123"/>
    <w:rsid w:val="00233C3D"/>
    <w:rsid w:val="003C095B"/>
    <w:rsid w:val="00482ED2"/>
    <w:rsid w:val="00486B2B"/>
    <w:rsid w:val="004B591C"/>
    <w:rsid w:val="004B7CCA"/>
    <w:rsid w:val="005C19BB"/>
    <w:rsid w:val="006B47C2"/>
    <w:rsid w:val="00A7470D"/>
    <w:rsid w:val="00B57036"/>
    <w:rsid w:val="00C73605"/>
    <w:rsid w:val="00CA0BE2"/>
    <w:rsid w:val="00CF3A6C"/>
    <w:rsid w:val="00EB7F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B8772"/>
  <w15:chartTrackingRefBased/>
  <w15:docId w15:val="{9F929BC4-801F-4769-8142-D703A69A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ED6"/>
    <w:pPr>
      <w:ind w:left="720"/>
      <w:contextualSpacing/>
    </w:pPr>
  </w:style>
  <w:style w:type="paragraph" w:styleId="NormalWeb">
    <w:name w:val="Normal (Web)"/>
    <w:basedOn w:val="Normal"/>
    <w:uiPriority w:val="99"/>
    <w:unhideWhenUsed/>
    <w:rsid w:val="00B5703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ead">
    <w:name w:val="head"/>
    <w:basedOn w:val="Normal"/>
    <w:rsid w:val="00B5703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B57036"/>
    <w:rPr>
      <w:color w:val="0000FF"/>
      <w:u w:val="single"/>
    </w:rPr>
  </w:style>
  <w:style w:type="character" w:styleId="Strong">
    <w:name w:val="Strong"/>
    <w:basedOn w:val="DefaultParagraphFont"/>
    <w:uiPriority w:val="22"/>
    <w:qFormat/>
    <w:rsid w:val="00B57036"/>
    <w:rPr>
      <w:b/>
      <w:bCs/>
    </w:rPr>
  </w:style>
  <w:style w:type="character" w:customStyle="1" w:styleId="head1">
    <w:name w:val="head1"/>
    <w:basedOn w:val="DefaultParagraphFont"/>
    <w:rsid w:val="00B57036"/>
  </w:style>
  <w:style w:type="paragraph" w:styleId="BalloonText">
    <w:name w:val="Balloon Text"/>
    <w:basedOn w:val="Normal"/>
    <w:link w:val="BalloonTextChar"/>
    <w:uiPriority w:val="99"/>
    <w:semiHidden/>
    <w:unhideWhenUsed/>
    <w:rsid w:val="00EB7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F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7462">
      <w:bodyDiv w:val="1"/>
      <w:marLeft w:val="0"/>
      <w:marRight w:val="0"/>
      <w:marTop w:val="0"/>
      <w:marBottom w:val="0"/>
      <w:divBdr>
        <w:top w:val="none" w:sz="0" w:space="0" w:color="auto"/>
        <w:left w:val="none" w:sz="0" w:space="0" w:color="auto"/>
        <w:bottom w:val="none" w:sz="0" w:space="0" w:color="auto"/>
        <w:right w:val="none" w:sz="0" w:space="0" w:color="auto"/>
      </w:divBdr>
    </w:div>
    <w:div w:id="118187406">
      <w:bodyDiv w:val="1"/>
      <w:marLeft w:val="0"/>
      <w:marRight w:val="0"/>
      <w:marTop w:val="0"/>
      <w:marBottom w:val="0"/>
      <w:divBdr>
        <w:top w:val="none" w:sz="0" w:space="0" w:color="auto"/>
        <w:left w:val="none" w:sz="0" w:space="0" w:color="auto"/>
        <w:bottom w:val="none" w:sz="0" w:space="0" w:color="auto"/>
        <w:right w:val="none" w:sz="0" w:space="0" w:color="auto"/>
      </w:divBdr>
    </w:div>
    <w:div w:id="373233541">
      <w:bodyDiv w:val="1"/>
      <w:marLeft w:val="0"/>
      <w:marRight w:val="0"/>
      <w:marTop w:val="0"/>
      <w:marBottom w:val="0"/>
      <w:divBdr>
        <w:top w:val="none" w:sz="0" w:space="0" w:color="auto"/>
        <w:left w:val="none" w:sz="0" w:space="0" w:color="auto"/>
        <w:bottom w:val="none" w:sz="0" w:space="0" w:color="auto"/>
        <w:right w:val="none" w:sz="0" w:space="0" w:color="auto"/>
      </w:divBdr>
    </w:div>
    <w:div w:id="435371563">
      <w:bodyDiv w:val="1"/>
      <w:marLeft w:val="0"/>
      <w:marRight w:val="0"/>
      <w:marTop w:val="0"/>
      <w:marBottom w:val="0"/>
      <w:divBdr>
        <w:top w:val="none" w:sz="0" w:space="0" w:color="auto"/>
        <w:left w:val="none" w:sz="0" w:space="0" w:color="auto"/>
        <w:bottom w:val="none" w:sz="0" w:space="0" w:color="auto"/>
        <w:right w:val="none" w:sz="0" w:space="0" w:color="auto"/>
      </w:divBdr>
    </w:div>
    <w:div w:id="454300037">
      <w:bodyDiv w:val="1"/>
      <w:marLeft w:val="0"/>
      <w:marRight w:val="0"/>
      <w:marTop w:val="0"/>
      <w:marBottom w:val="0"/>
      <w:divBdr>
        <w:top w:val="none" w:sz="0" w:space="0" w:color="auto"/>
        <w:left w:val="none" w:sz="0" w:space="0" w:color="auto"/>
        <w:bottom w:val="none" w:sz="0" w:space="0" w:color="auto"/>
        <w:right w:val="none" w:sz="0" w:space="0" w:color="auto"/>
      </w:divBdr>
    </w:div>
    <w:div w:id="501434106">
      <w:bodyDiv w:val="1"/>
      <w:marLeft w:val="0"/>
      <w:marRight w:val="0"/>
      <w:marTop w:val="0"/>
      <w:marBottom w:val="0"/>
      <w:divBdr>
        <w:top w:val="none" w:sz="0" w:space="0" w:color="auto"/>
        <w:left w:val="none" w:sz="0" w:space="0" w:color="auto"/>
        <w:bottom w:val="none" w:sz="0" w:space="0" w:color="auto"/>
        <w:right w:val="none" w:sz="0" w:space="0" w:color="auto"/>
      </w:divBdr>
    </w:div>
    <w:div w:id="630987399">
      <w:bodyDiv w:val="1"/>
      <w:marLeft w:val="0"/>
      <w:marRight w:val="0"/>
      <w:marTop w:val="0"/>
      <w:marBottom w:val="0"/>
      <w:divBdr>
        <w:top w:val="none" w:sz="0" w:space="0" w:color="auto"/>
        <w:left w:val="none" w:sz="0" w:space="0" w:color="auto"/>
        <w:bottom w:val="none" w:sz="0" w:space="0" w:color="auto"/>
        <w:right w:val="none" w:sz="0" w:space="0" w:color="auto"/>
      </w:divBdr>
    </w:div>
    <w:div w:id="844323102">
      <w:bodyDiv w:val="1"/>
      <w:marLeft w:val="0"/>
      <w:marRight w:val="0"/>
      <w:marTop w:val="0"/>
      <w:marBottom w:val="0"/>
      <w:divBdr>
        <w:top w:val="none" w:sz="0" w:space="0" w:color="auto"/>
        <w:left w:val="none" w:sz="0" w:space="0" w:color="auto"/>
        <w:bottom w:val="none" w:sz="0" w:space="0" w:color="auto"/>
        <w:right w:val="none" w:sz="0" w:space="0" w:color="auto"/>
      </w:divBdr>
    </w:div>
    <w:div w:id="880441666">
      <w:bodyDiv w:val="1"/>
      <w:marLeft w:val="0"/>
      <w:marRight w:val="0"/>
      <w:marTop w:val="0"/>
      <w:marBottom w:val="0"/>
      <w:divBdr>
        <w:top w:val="none" w:sz="0" w:space="0" w:color="auto"/>
        <w:left w:val="none" w:sz="0" w:space="0" w:color="auto"/>
        <w:bottom w:val="none" w:sz="0" w:space="0" w:color="auto"/>
        <w:right w:val="none" w:sz="0" w:space="0" w:color="auto"/>
      </w:divBdr>
    </w:div>
    <w:div w:id="893783720">
      <w:bodyDiv w:val="1"/>
      <w:marLeft w:val="0"/>
      <w:marRight w:val="0"/>
      <w:marTop w:val="0"/>
      <w:marBottom w:val="0"/>
      <w:divBdr>
        <w:top w:val="none" w:sz="0" w:space="0" w:color="auto"/>
        <w:left w:val="none" w:sz="0" w:space="0" w:color="auto"/>
        <w:bottom w:val="none" w:sz="0" w:space="0" w:color="auto"/>
        <w:right w:val="none" w:sz="0" w:space="0" w:color="auto"/>
      </w:divBdr>
    </w:div>
    <w:div w:id="975255613">
      <w:bodyDiv w:val="1"/>
      <w:marLeft w:val="0"/>
      <w:marRight w:val="0"/>
      <w:marTop w:val="0"/>
      <w:marBottom w:val="0"/>
      <w:divBdr>
        <w:top w:val="none" w:sz="0" w:space="0" w:color="auto"/>
        <w:left w:val="none" w:sz="0" w:space="0" w:color="auto"/>
        <w:bottom w:val="none" w:sz="0" w:space="0" w:color="auto"/>
        <w:right w:val="none" w:sz="0" w:space="0" w:color="auto"/>
      </w:divBdr>
    </w:div>
    <w:div w:id="1136486830">
      <w:bodyDiv w:val="1"/>
      <w:marLeft w:val="0"/>
      <w:marRight w:val="0"/>
      <w:marTop w:val="0"/>
      <w:marBottom w:val="0"/>
      <w:divBdr>
        <w:top w:val="none" w:sz="0" w:space="0" w:color="auto"/>
        <w:left w:val="none" w:sz="0" w:space="0" w:color="auto"/>
        <w:bottom w:val="none" w:sz="0" w:space="0" w:color="auto"/>
        <w:right w:val="none" w:sz="0" w:space="0" w:color="auto"/>
      </w:divBdr>
    </w:div>
    <w:div w:id="1152067532">
      <w:bodyDiv w:val="1"/>
      <w:marLeft w:val="0"/>
      <w:marRight w:val="0"/>
      <w:marTop w:val="0"/>
      <w:marBottom w:val="0"/>
      <w:divBdr>
        <w:top w:val="none" w:sz="0" w:space="0" w:color="auto"/>
        <w:left w:val="none" w:sz="0" w:space="0" w:color="auto"/>
        <w:bottom w:val="none" w:sz="0" w:space="0" w:color="auto"/>
        <w:right w:val="none" w:sz="0" w:space="0" w:color="auto"/>
      </w:divBdr>
      <w:divsChild>
        <w:div w:id="892691189">
          <w:blockQuote w:val="1"/>
          <w:marLeft w:val="600"/>
          <w:marRight w:val="600"/>
          <w:marTop w:val="240"/>
          <w:marBottom w:val="240"/>
          <w:divBdr>
            <w:top w:val="none" w:sz="0" w:space="0" w:color="auto"/>
            <w:left w:val="none" w:sz="0" w:space="0" w:color="auto"/>
            <w:bottom w:val="none" w:sz="0" w:space="0" w:color="auto"/>
            <w:right w:val="none" w:sz="0" w:space="0" w:color="auto"/>
          </w:divBdr>
        </w:div>
        <w:div w:id="171954538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156192953">
      <w:bodyDiv w:val="1"/>
      <w:marLeft w:val="0"/>
      <w:marRight w:val="0"/>
      <w:marTop w:val="0"/>
      <w:marBottom w:val="0"/>
      <w:divBdr>
        <w:top w:val="none" w:sz="0" w:space="0" w:color="auto"/>
        <w:left w:val="none" w:sz="0" w:space="0" w:color="auto"/>
        <w:bottom w:val="none" w:sz="0" w:space="0" w:color="auto"/>
        <w:right w:val="none" w:sz="0" w:space="0" w:color="auto"/>
      </w:divBdr>
    </w:div>
    <w:div w:id="1380284602">
      <w:bodyDiv w:val="1"/>
      <w:marLeft w:val="0"/>
      <w:marRight w:val="0"/>
      <w:marTop w:val="0"/>
      <w:marBottom w:val="0"/>
      <w:divBdr>
        <w:top w:val="none" w:sz="0" w:space="0" w:color="auto"/>
        <w:left w:val="none" w:sz="0" w:space="0" w:color="auto"/>
        <w:bottom w:val="none" w:sz="0" w:space="0" w:color="auto"/>
        <w:right w:val="none" w:sz="0" w:space="0" w:color="auto"/>
      </w:divBdr>
    </w:div>
    <w:div w:id="1418207033">
      <w:bodyDiv w:val="1"/>
      <w:marLeft w:val="0"/>
      <w:marRight w:val="0"/>
      <w:marTop w:val="0"/>
      <w:marBottom w:val="0"/>
      <w:divBdr>
        <w:top w:val="none" w:sz="0" w:space="0" w:color="auto"/>
        <w:left w:val="none" w:sz="0" w:space="0" w:color="auto"/>
        <w:bottom w:val="none" w:sz="0" w:space="0" w:color="auto"/>
        <w:right w:val="none" w:sz="0" w:space="0" w:color="auto"/>
      </w:divBdr>
    </w:div>
    <w:div w:id="1543397659">
      <w:bodyDiv w:val="1"/>
      <w:marLeft w:val="0"/>
      <w:marRight w:val="0"/>
      <w:marTop w:val="0"/>
      <w:marBottom w:val="0"/>
      <w:divBdr>
        <w:top w:val="none" w:sz="0" w:space="0" w:color="auto"/>
        <w:left w:val="none" w:sz="0" w:space="0" w:color="auto"/>
        <w:bottom w:val="none" w:sz="0" w:space="0" w:color="auto"/>
        <w:right w:val="none" w:sz="0" w:space="0" w:color="auto"/>
      </w:divBdr>
    </w:div>
    <w:div w:id="1626539867">
      <w:bodyDiv w:val="1"/>
      <w:marLeft w:val="0"/>
      <w:marRight w:val="0"/>
      <w:marTop w:val="0"/>
      <w:marBottom w:val="0"/>
      <w:divBdr>
        <w:top w:val="none" w:sz="0" w:space="0" w:color="auto"/>
        <w:left w:val="none" w:sz="0" w:space="0" w:color="auto"/>
        <w:bottom w:val="none" w:sz="0" w:space="0" w:color="auto"/>
        <w:right w:val="none" w:sz="0" w:space="0" w:color="auto"/>
      </w:divBdr>
    </w:div>
    <w:div w:id="1636567540">
      <w:bodyDiv w:val="1"/>
      <w:marLeft w:val="0"/>
      <w:marRight w:val="0"/>
      <w:marTop w:val="0"/>
      <w:marBottom w:val="0"/>
      <w:divBdr>
        <w:top w:val="none" w:sz="0" w:space="0" w:color="auto"/>
        <w:left w:val="none" w:sz="0" w:space="0" w:color="auto"/>
        <w:bottom w:val="none" w:sz="0" w:space="0" w:color="auto"/>
        <w:right w:val="none" w:sz="0" w:space="0" w:color="auto"/>
      </w:divBdr>
    </w:div>
    <w:div w:id="1664968284">
      <w:bodyDiv w:val="1"/>
      <w:marLeft w:val="0"/>
      <w:marRight w:val="0"/>
      <w:marTop w:val="0"/>
      <w:marBottom w:val="0"/>
      <w:divBdr>
        <w:top w:val="none" w:sz="0" w:space="0" w:color="auto"/>
        <w:left w:val="none" w:sz="0" w:space="0" w:color="auto"/>
        <w:bottom w:val="none" w:sz="0" w:space="0" w:color="auto"/>
        <w:right w:val="none" w:sz="0" w:space="0" w:color="auto"/>
      </w:divBdr>
    </w:div>
    <w:div w:id="1754232366">
      <w:bodyDiv w:val="1"/>
      <w:marLeft w:val="0"/>
      <w:marRight w:val="0"/>
      <w:marTop w:val="0"/>
      <w:marBottom w:val="0"/>
      <w:divBdr>
        <w:top w:val="none" w:sz="0" w:space="0" w:color="auto"/>
        <w:left w:val="none" w:sz="0" w:space="0" w:color="auto"/>
        <w:bottom w:val="none" w:sz="0" w:space="0" w:color="auto"/>
        <w:right w:val="none" w:sz="0" w:space="0" w:color="auto"/>
      </w:divBdr>
    </w:div>
    <w:div w:id="175775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bi.org.in/Scripts/NotificationUser.aspx?Id=12539&amp;Mode=0" TargetMode="External"/><Relationship Id="rId21" Type="http://schemas.openxmlformats.org/officeDocument/2006/relationships/hyperlink" Target="https://rbidocs.rbi.org.in/rdocs/content/pdfs/CommercialDQI20092023_AN1.pdf" TargetMode="External"/><Relationship Id="rId42" Type="http://schemas.openxmlformats.org/officeDocument/2006/relationships/hyperlink" Target="https://rbi.org.in/Scripts/NotificationUser.aspx?Id=12553&amp;Mode=0" TargetMode="External"/><Relationship Id="rId47" Type="http://schemas.openxmlformats.org/officeDocument/2006/relationships/hyperlink" Target="https://www.rbi.org.in/Scripts/BS_ViewMasDirections.aspx?id=10598" TargetMode="External"/><Relationship Id="rId63" Type="http://schemas.openxmlformats.org/officeDocument/2006/relationships/hyperlink" Target="https://rbi.org.in/Scripts/NotificationUser.aspx?Id=12572&amp;Mode=0" TargetMode="External"/><Relationship Id="rId68" Type="http://schemas.openxmlformats.org/officeDocument/2006/relationships/hyperlink" Target="https://www.rbi.org.in/Scripts/NotificationUser.aspx?Id=12527&amp;Mode=0" TargetMode="External"/><Relationship Id="rId16" Type="http://schemas.openxmlformats.org/officeDocument/2006/relationships/hyperlink" Target="https://rbi.org.in/Scripts/NotificationUser.aspx?Id=12535&amp;Mode=0" TargetMode="External"/><Relationship Id="rId11" Type="http://schemas.openxmlformats.org/officeDocument/2006/relationships/hyperlink" Target="https://rbi.org.in/Scripts/BS_ViewMasDirections.aspx?id=12030" TargetMode="External"/><Relationship Id="rId24" Type="http://schemas.openxmlformats.org/officeDocument/2006/relationships/hyperlink" Target="https://rbi.org.in/Scripts/NotificationUser.aspx?Id=12537&amp;Mode=0" TargetMode="External"/><Relationship Id="rId32" Type="http://schemas.openxmlformats.org/officeDocument/2006/relationships/hyperlink" Target="https://rbi.org.in/Scripts/NotificationUser.aspx?Id=12549&amp;Mode=0" TargetMode="External"/><Relationship Id="rId37" Type="http://schemas.openxmlformats.org/officeDocument/2006/relationships/hyperlink" Target="https://rbi.org.in/Scripts/BS_PressReleaseDisplay.aspx?prid=55473" TargetMode="External"/><Relationship Id="rId40" Type="http://schemas.openxmlformats.org/officeDocument/2006/relationships/hyperlink" Target="https://rbidocs.rbi.org.in/rdocs/content/pdfs/73NT26102023_AN1.pdf" TargetMode="External"/><Relationship Id="rId45" Type="http://schemas.openxmlformats.org/officeDocument/2006/relationships/hyperlink" Target="https://rbidocs.rbi.org.in/rdocs/content/pdfs/NOTI72FCCD261023_AN.pdf" TargetMode="External"/><Relationship Id="rId53" Type="http://schemas.openxmlformats.org/officeDocument/2006/relationships/hyperlink" Target="https://rbi.org.in/Scripts/BS_PressReleaseDisplay.aspx?prid=53247" TargetMode="External"/><Relationship Id="rId58" Type="http://schemas.openxmlformats.org/officeDocument/2006/relationships/hyperlink" Target="https://rbi.org.in/Scripts/NotificationUser.aspx?Id=12567&amp;Mode=0" TargetMode="External"/><Relationship Id="rId66" Type="http://schemas.openxmlformats.org/officeDocument/2006/relationships/hyperlink" Target="https://rbi.org.in/Scripts/NotificationUser.aspx?Id=12584&amp;Mode=0" TargetMode="External"/><Relationship Id="rId74" Type="http://schemas.openxmlformats.org/officeDocument/2006/relationships/hyperlink" Target="mailto:iocepd@rbi.org.in" TargetMode="External"/><Relationship Id="rId5" Type="http://schemas.openxmlformats.org/officeDocument/2006/relationships/hyperlink" Target="https://rbi.org.in/Scripts/NotificationUser.aspx?Id=12527&amp;Mode=0" TargetMode="External"/><Relationship Id="rId61" Type="http://schemas.openxmlformats.org/officeDocument/2006/relationships/hyperlink" Target="https://rbi.org.in/Scripts/NotificationUser.aspx?Id=12567&amp;Mode=0" TargetMode="External"/><Relationship Id="rId19" Type="http://schemas.openxmlformats.org/officeDocument/2006/relationships/hyperlink" Target="https://rbi.org.in/Scripts/NotificationUser.aspx?Id=12536&amp;Mode=0" TargetMode="External"/><Relationship Id="rId14" Type="http://schemas.openxmlformats.org/officeDocument/2006/relationships/hyperlink" Target="https://www.rbi.org.in/Scripts/BS_PressReleaseDisplay.aspx?prid=56174" TargetMode="External"/><Relationship Id="rId22" Type="http://schemas.openxmlformats.org/officeDocument/2006/relationships/hyperlink" Target="https://rbidocs.rbi.org.in/rdocs/content/pdfs/MFIDQI20092023_AN2.pdf" TargetMode="External"/><Relationship Id="rId27" Type="http://schemas.openxmlformats.org/officeDocument/2006/relationships/hyperlink" Target="https://www.rbi.org.in/Scripts/NotificationUser.aspx?Id=12208&amp;Mode=0" TargetMode="External"/><Relationship Id="rId30" Type="http://schemas.openxmlformats.org/officeDocument/2006/relationships/hyperlink" Target="https://rbidocs.rbi.org.in/rdocs/content/pdfs/MDKYC17102023_Annexure.pdf" TargetMode="External"/><Relationship Id="rId35" Type="http://schemas.openxmlformats.org/officeDocument/2006/relationships/hyperlink" Target="https://rbidocs.rbi.org.in/rdocs/content/pdfs/106MDNBFCs19102023_ANN.pdf" TargetMode="External"/><Relationship Id="rId43" Type="http://schemas.openxmlformats.org/officeDocument/2006/relationships/hyperlink" Target="https://www.rbi.org.in/Scripts/BS_PressReleaseDisplay.aspx?prid=55473" TargetMode="External"/><Relationship Id="rId48" Type="http://schemas.openxmlformats.org/officeDocument/2006/relationships/hyperlink" Target="https://rbi.org.in/Scripts/BS_ViewMasDirections.aspx?id=10598" TargetMode="External"/><Relationship Id="rId56" Type="http://schemas.openxmlformats.org/officeDocument/2006/relationships/hyperlink" Target="https://www.rbi.org.in/Scripts/BS_PressReleaseDisplay.aspx?prid=56501" TargetMode="External"/><Relationship Id="rId64" Type="http://schemas.openxmlformats.org/officeDocument/2006/relationships/hyperlink" Target="https://rbi.org.in/scripts/FS_Notification.aspx?Id=12009&amp;fn=9&amp;Mode=0" TargetMode="External"/><Relationship Id="rId69" Type="http://schemas.openxmlformats.org/officeDocument/2006/relationships/hyperlink" Target="https://www.rbi.org.in/Scripts/FAQView.aspx?Id=162" TargetMode="External"/><Relationship Id="rId77" Type="http://schemas.openxmlformats.org/officeDocument/2006/relationships/theme" Target="theme/theme1.xml"/><Relationship Id="rId8" Type="http://schemas.openxmlformats.org/officeDocument/2006/relationships/hyperlink" Target="https://www.rbi.org.in/Scripts/BS_ViewMasCirculardetails.aspx?id=9902" TargetMode="External"/><Relationship Id="rId51" Type="http://schemas.openxmlformats.org/officeDocument/2006/relationships/hyperlink" Target="https://rbi.org.in/Scripts/NotificationUser.aspx?Id=12558&amp;Mode=0" TargetMode="External"/><Relationship Id="rId72" Type="http://schemas.openxmlformats.org/officeDocument/2006/relationships/hyperlink" Target="https://www.rbi.org.in/Scripts/NotificationUser.aspx?Id=12195&amp;Mode=0" TargetMode="External"/><Relationship Id="rId3" Type="http://schemas.openxmlformats.org/officeDocument/2006/relationships/settings" Target="settings.xml"/><Relationship Id="rId12" Type="http://schemas.openxmlformats.org/officeDocument/2006/relationships/hyperlink" Target="https://rbi.org.in/Scripts/NotificationUser.aspx?Id=12529&amp;Mode=0" TargetMode="External"/><Relationship Id="rId17" Type="http://schemas.openxmlformats.org/officeDocument/2006/relationships/hyperlink" Target="https://rbi.org.in/Scripts/NotificationUser.aspx?Id=12535&amp;Mode=0" TargetMode="External"/><Relationship Id="rId25" Type="http://schemas.openxmlformats.org/officeDocument/2006/relationships/hyperlink" Target="https://rbi.org.in/Scripts/NotificationUser.aspx?Id=12539&amp;Mode=0" TargetMode="External"/><Relationship Id="rId33" Type="http://schemas.openxmlformats.org/officeDocument/2006/relationships/hyperlink" Target="https://www.rbi.org.in/Scripts/BS_ViewMasDirections.aspx?id=10585" TargetMode="External"/><Relationship Id="rId38" Type="http://schemas.openxmlformats.org/officeDocument/2006/relationships/hyperlink" Target="https://rbi.org.in/Scripts/BS_PressReleaseDisplay.aspx?prid=55472" TargetMode="External"/><Relationship Id="rId46" Type="http://schemas.openxmlformats.org/officeDocument/2006/relationships/hyperlink" Target="https://rbi.org.in/Scripts/NotificationUser.aspx?Id=12554&amp;Mode=0" TargetMode="External"/><Relationship Id="rId59" Type="http://schemas.openxmlformats.org/officeDocument/2006/relationships/hyperlink" Target="https://rbi.org.in/Scripts/NotificationUser.aspx?Id=12567&amp;Mode=0" TargetMode="External"/><Relationship Id="rId67" Type="http://schemas.openxmlformats.org/officeDocument/2006/relationships/hyperlink" Target="https://rbi.org.in/Scripts/NotificationUser.aspx?Id=12584&amp;Mode=0" TargetMode="External"/><Relationship Id="rId20" Type="http://schemas.openxmlformats.org/officeDocument/2006/relationships/hyperlink" Target="https://www.rbi.org.in/Scripts/NotificationUser.aspx?Id=8968&amp;Mode=0" TargetMode="External"/><Relationship Id="rId41" Type="http://schemas.openxmlformats.org/officeDocument/2006/relationships/hyperlink" Target="https://rbi.org.in/Scripts/NotificationUser.aspx?Id=12553&amp;Mode=0" TargetMode="External"/><Relationship Id="rId54" Type="http://schemas.openxmlformats.org/officeDocument/2006/relationships/hyperlink" Target="https://rbi.org.in/Scripts/BS_PressReleaseDisplay.aspx?prid=54571" TargetMode="External"/><Relationship Id="rId62" Type="http://schemas.openxmlformats.org/officeDocument/2006/relationships/hyperlink" Target="https://rbi.org.in/Scripts/NotificationUser.aspx?Id=12567&amp;Mode=0" TargetMode="External"/><Relationship Id="rId70" Type="http://schemas.openxmlformats.org/officeDocument/2006/relationships/hyperlink" Target="https://rbi.org.in/Scripts/NotificationUser.aspx?Id=12585&amp;Mode=0" TargetMode="External"/><Relationship Id="rId75" Type="http://schemas.openxmlformats.org/officeDocument/2006/relationships/hyperlink" Target="https://rbi.org.in/Scripts/NotificationUser.aspx?Id=12586&amp;Mode=0" TargetMode="External"/><Relationship Id="rId1" Type="http://schemas.openxmlformats.org/officeDocument/2006/relationships/numbering" Target="numbering.xml"/><Relationship Id="rId6" Type="http://schemas.openxmlformats.org/officeDocument/2006/relationships/hyperlink" Target="https://rbi.org.in/Scripts/NotificationUser.aspx?Id=12527&amp;Mode=0" TargetMode="External"/><Relationship Id="rId15" Type="http://schemas.openxmlformats.org/officeDocument/2006/relationships/hyperlink" Target="https://rbi.org.in/Scripts/NotificationUser.aspx?Id=12531&amp;Mode=0" TargetMode="External"/><Relationship Id="rId23" Type="http://schemas.openxmlformats.org/officeDocument/2006/relationships/hyperlink" Target="https://rbi.org.in/Scripts/NotificationUser.aspx?Id=12537&amp;Mode=0" TargetMode="External"/><Relationship Id="rId28" Type="http://schemas.openxmlformats.org/officeDocument/2006/relationships/hyperlink" Target="https://rbi.org.in/Scripts/NotificationUser.aspx?Id=12543&amp;Mode=0" TargetMode="External"/><Relationship Id="rId36" Type="http://schemas.openxmlformats.org/officeDocument/2006/relationships/hyperlink" Target="https://rbi.org.in/Scripts/NotificationUser.aspx?Id=12550&amp;Mode=0" TargetMode="External"/><Relationship Id="rId49" Type="http://schemas.openxmlformats.org/officeDocument/2006/relationships/hyperlink" Target="https://www.rbi.org.in/Scripts/BS_ViewMasDirections.aspx?id=10598" TargetMode="External"/><Relationship Id="rId57" Type="http://schemas.openxmlformats.org/officeDocument/2006/relationships/hyperlink" Target="https://rbi.org.in/Scripts/NotificationUser.aspx?Id=12567&amp;Mode=0" TargetMode="External"/><Relationship Id="rId10" Type="http://schemas.openxmlformats.org/officeDocument/2006/relationships/hyperlink" Target="https://www.rbi.org.in/Scripts/BS_ViewMasDirections.aspx?id=10586" TargetMode="External"/><Relationship Id="rId31" Type="http://schemas.openxmlformats.org/officeDocument/2006/relationships/hyperlink" Target="https://www.rbi.org.in/Scripts/BS_ViewMasDirections.aspx?id=11566" TargetMode="External"/><Relationship Id="rId44" Type="http://schemas.openxmlformats.org/officeDocument/2006/relationships/hyperlink" Target="https://www.rbi.org.in/Scripts/BS_PressReleaseDisplay.aspx?prid=55472" TargetMode="External"/><Relationship Id="rId52" Type="http://schemas.openxmlformats.org/officeDocument/2006/relationships/hyperlink" Target="https://rbi.org.in/Scripts/BS_PressReleaseDisplay.aspx?prid=53248" TargetMode="External"/><Relationship Id="rId60" Type="http://schemas.openxmlformats.org/officeDocument/2006/relationships/hyperlink" Target="https://rbi.org.in/Scripts/NotificationUser.aspx?Id=12567&amp;Mode=0" TargetMode="External"/><Relationship Id="rId65" Type="http://schemas.openxmlformats.org/officeDocument/2006/relationships/hyperlink" Target="https://www.rbi.org.in/Scripts/BS_PressReleaseDisplay.aspx?prid=56503" TargetMode="External"/><Relationship Id="rId73" Type="http://schemas.openxmlformats.org/officeDocument/2006/relationships/hyperlink" Target="https://www.rbi.org.in/Scripts/NotificationUser.aspx?Id=12395&amp;Mode=0" TargetMode="External"/><Relationship Id="rId4" Type="http://schemas.openxmlformats.org/officeDocument/2006/relationships/webSettings" Target="webSettings.xml"/><Relationship Id="rId9" Type="http://schemas.openxmlformats.org/officeDocument/2006/relationships/hyperlink" Target="https://www.rbi.org.in/Scripts/BS_ViewMasDirections.aspx?id=10585" TargetMode="External"/><Relationship Id="rId13" Type="http://schemas.openxmlformats.org/officeDocument/2006/relationships/hyperlink" Target="https://rbi.org.in/scripts/FS_Notification.aspx?Id=12215&amp;fn=9&amp;Mode=0" TargetMode="External"/><Relationship Id="rId18" Type="http://schemas.openxmlformats.org/officeDocument/2006/relationships/hyperlink" Target="https://pmvishwakarma.gov.in/FileHandling/ViewFile/MiscFiles%5CPM%20Vishwakarma-Guidelines.pdf" TargetMode="External"/><Relationship Id="rId39" Type="http://schemas.openxmlformats.org/officeDocument/2006/relationships/hyperlink" Target="https://rbidocs.rbi.org.in/rdocs/content/pdfs/73NT26102023_AN1.pdf" TargetMode="External"/><Relationship Id="rId34" Type="http://schemas.openxmlformats.org/officeDocument/2006/relationships/hyperlink" Target="https://www.rbi.org.in/Scripts/BS_ViewMasDirections.aspx?id=10586" TargetMode="External"/><Relationship Id="rId50" Type="http://schemas.openxmlformats.org/officeDocument/2006/relationships/hyperlink" Target="https://rbi.org.in/Scripts/BS_ViewMasDirections.aspx?id=10598" TargetMode="External"/><Relationship Id="rId55" Type="http://schemas.openxmlformats.org/officeDocument/2006/relationships/hyperlink" Target="https://rbi.org.in/Scripts/NotificationUser.aspx?Id=12562&amp;Mode=0" TargetMode="External"/><Relationship Id="rId76" Type="http://schemas.openxmlformats.org/officeDocument/2006/relationships/fontTable" Target="fontTable.xml"/><Relationship Id="rId7" Type="http://schemas.openxmlformats.org/officeDocument/2006/relationships/hyperlink" Target="https://rbi.org.in/Scripts/NotificationUser.aspx?Id=12529&amp;Mode=0" TargetMode="External"/><Relationship Id="rId71" Type="http://schemas.openxmlformats.org/officeDocument/2006/relationships/hyperlink" Target="https://www.rbi.org.in/Scripts/BS_PressReleaseDisplay.aspx?prid=44900" TargetMode="External"/><Relationship Id="rId2" Type="http://schemas.openxmlformats.org/officeDocument/2006/relationships/styles" Target="styles.xml"/><Relationship Id="rId29" Type="http://schemas.openxmlformats.org/officeDocument/2006/relationships/hyperlink" Target="https://www.rbi.org.in/Scripts/BS_ViewMasDirections.aspx?id=115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9877</Words>
  <Characters>56300</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Debjyoti Dey</cp:lastModifiedBy>
  <cp:revision>20</cp:revision>
  <cp:lastPrinted>2024-01-19T05:52:00Z</cp:lastPrinted>
  <dcterms:created xsi:type="dcterms:W3CDTF">2023-08-01T16:57:00Z</dcterms:created>
  <dcterms:modified xsi:type="dcterms:W3CDTF">2024-01-19T06:10:00Z</dcterms:modified>
</cp:coreProperties>
</file>